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仿宋_GB2312" w:eastAsia="仿宋_GB2312"/>
          <w:sz w:val="32"/>
          <w:szCs w:val="32"/>
          <w:lang w:val="en-US" w:eastAsia="zh-CN"/>
        </w:rPr>
      </w:pPr>
    </w:p>
    <w:p>
      <w:pPr>
        <w:pStyle w:val="3"/>
        <w:keepNext w:val="0"/>
        <w:keepLines w:val="0"/>
        <w:pageBreakBefore w:val="0"/>
        <w:widowControl w:val="0"/>
        <w:kinsoku/>
        <w:overflowPunct/>
        <w:topLinePunct w:val="0"/>
        <w:bidi w:val="0"/>
        <w:spacing w:before="0" w:after="0" w:line="600" w:lineRule="exact"/>
        <w:textAlignment w:val="auto"/>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滕州新奥能源物流港</w:t>
      </w:r>
      <w:r>
        <w:rPr>
          <w:rFonts w:hint="eastAsia" w:ascii="方正小标宋简体" w:hAnsi="黑体" w:eastAsia="方正小标宋简体" w:cs="方正小标宋简体"/>
          <w:b w:val="0"/>
          <w:bCs w:val="0"/>
          <w:color w:val="000000"/>
          <w:sz w:val="44"/>
          <w:szCs w:val="44"/>
        </w:rPr>
        <w:t>有限公司</w:t>
      </w:r>
    </w:p>
    <w:p>
      <w:pPr>
        <w:pStyle w:val="3"/>
        <w:keepNext w:val="0"/>
        <w:keepLines w:val="0"/>
        <w:pageBreakBefore w:val="0"/>
        <w:widowControl w:val="0"/>
        <w:kinsoku/>
        <w:overflowPunct/>
        <w:topLinePunct w:val="0"/>
        <w:bidi w:val="0"/>
        <w:spacing w:before="0" w:after="0" w:line="600" w:lineRule="exact"/>
        <w:textAlignment w:val="auto"/>
        <w:rPr>
          <w:rFonts w:ascii="仿宋_GB2312" w:cs="Times New Roman"/>
          <w:color w:val="000000"/>
          <w:sz w:val="36"/>
          <w:szCs w:val="36"/>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年第一季度信息公告</w:t>
      </w:r>
    </w:p>
    <w:p>
      <w:pPr>
        <w:keepNext w:val="0"/>
        <w:keepLines w:val="0"/>
        <w:pageBreakBefore w:val="0"/>
        <w:widowControl w:val="0"/>
        <w:kinsoku/>
        <w:overflowPunct/>
        <w:topLinePunct w:val="0"/>
        <w:autoSpaceDE w:val="0"/>
        <w:autoSpaceDN w:val="0"/>
        <w:bidi w:val="0"/>
        <w:adjustRightInd w:val="0"/>
        <w:spacing w:line="600" w:lineRule="exact"/>
        <w:jc w:val="center"/>
        <w:textAlignment w:val="auto"/>
        <w:rPr>
          <w:rFonts w:ascii="仿宋_GB2312" w:cs="Times New Roman"/>
          <w:color w:val="000000"/>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overflowPunct/>
        <w:topLinePunct w:val="0"/>
        <w:bidi w:val="0"/>
        <w:adjustRightInd w:val="0"/>
        <w:snapToGrid w:val="0"/>
        <w:spacing w:line="600" w:lineRule="exact"/>
        <w:ind w:firstLine="480" w:firstLineChars="150"/>
        <w:textAlignment w:val="auto"/>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keepNext w:val="0"/>
        <w:keepLines w:val="0"/>
        <w:pageBreakBefore w:val="0"/>
        <w:widowControl w:val="0"/>
        <w:kinsoku/>
        <w:overflowPunct/>
        <w:topLinePunct w:val="0"/>
        <w:bidi w:val="0"/>
        <w:adjustRightInd w:val="0"/>
        <w:snapToGrid w:val="0"/>
        <w:spacing w:line="600" w:lineRule="exact"/>
        <w:ind w:firstLine="422" w:firstLineChars="200"/>
        <w:textAlignment w:val="auto"/>
        <w:rPr>
          <w:rFonts w:ascii="宋体" w:hAnsi="宋体" w:eastAsia="宋体" w:cs="Times New Roman"/>
          <w:b/>
          <w:bCs/>
          <w:color w:val="000000"/>
        </w:rPr>
      </w:pPr>
    </w:p>
    <w:p>
      <w:pPr>
        <w:keepNext w:val="0"/>
        <w:keepLines w:val="0"/>
        <w:pageBreakBefore w:val="0"/>
        <w:widowControl w:val="0"/>
        <w:kinsoku/>
        <w:overflowPunct/>
        <w:topLinePunct w:val="0"/>
        <w:bidi w:val="0"/>
        <w:adjustRightInd w:val="0"/>
        <w:snapToGrid w:val="0"/>
        <w:spacing w:line="600" w:lineRule="exact"/>
        <w:ind w:firstLine="643" w:firstLineChars="200"/>
        <w:textAlignment w:val="auto"/>
        <w:rPr>
          <w:rFonts w:ascii="仿宋_GB2312" w:eastAsia="仿宋_GB2312" w:cs="Times New Roman"/>
          <w:b/>
          <w:bCs/>
          <w:sz w:val="32"/>
          <w:szCs w:val="32"/>
        </w:rPr>
      </w:pPr>
      <w:r>
        <w:rPr>
          <w:rFonts w:hint="eastAsia" w:ascii="黑体" w:hAnsi="黑体" w:eastAsia="黑体" w:cs="黑体"/>
          <w:b/>
          <w:bCs/>
          <w:sz w:val="32"/>
          <w:szCs w:val="32"/>
        </w:rPr>
        <w:t>一、公司基本情况</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eastAsia="zh-CN"/>
        </w:rPr>
        <w:t>滕州新奥能源物流港有限公司</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overflowPunct/>
        <w:topLinePunct w:val="0"/>
        <w:bidi w:val="0"/>
        <w:adjustRightInd w:val="0"/>
        <w:snapToGrid w:val="0"/>
        <w:spacing w:line="600" w:lineRule="exact"/>
        <w:ind w:firstLine="1360" w:firstLineChars="4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eastAsia="zh-CN"/>
        </w:rPr>
        <w:t>滕州港公司</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25"/>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eastAsia="zh-CN"/>
        </w:rPr>
        <w:t>田建国</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现代物流配送服务；内河航道、船闸、港口码头基础设施投资建设、管理、养护及咨询服务,码头及其他港口设施服务；货物装卸、仓储服务(不含危险品)；煤炭洗选；销售：煤炭及制品、粮食、机械设备、五金交电、建材；海河联运工程项目投资建设；加油站、加气站、充电站的项目投资、建设；水上运输服务；水利、园林工程施工;房地产开发销售；房屋租赁。(依法须经批准的项目,经相关部门批准后方可开展经营活动)”经营范围以登记机关核准的为准。</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eastAsia="zh-CN"/>
        </w:rPr>
        <w:t>山东省枣庄市滕州市滨湖镇后辛安村</w:t>
      </w:r>
      <w:r>
        <w:rPr>
          <w:rFonts w:hint="eastAsia" w:ascii="仿宋_GB2312" w:hAnsi="仿宋_GB2312" w:eastAsia="仿宋_GB2312" w:cs="仿宋_GB2312"/>
          <w:b w:val="0"/>
          <w:bCs w:val="0"/>
          <w:sz w:val="32"/>
          <w:szCs w:val="32"/>
          <w:lang w:val="en-US" w:eastAsia="zh-CN"/>
        </w:rPr>
        <w:t>70米处。</w:t>
      </w:r>
      <w:r>
        <w:rPr>
          <w:rFonts w:hint="eastAsia" w:ascii="仿宋_GB2312" w:hAnsi="仿宋_GB2312" w:eastAsia="仿宋_GB2312" w:cs="仿宋_GB2312"/>
          <w:b w:val="0"/>
          <w:bCs w:val="0"/>
          <w:sz w:val="32"/>
          <w:szCs w:val="32"/>
        </w:rPr>
        <w:t xml:space="preserve">    邮政编码：</w:t>
      </w:r>
      <w:r>
        <w:rPr>
          <w:rFonts w:hint="eastAsia" w:ascii="仿宋_GB2312" w:hAnsi="仿宋_GB2312" w:eastAsia="仿宋_GB2312" w:cs="仿宋_GB2312"/>
          <w:b w:val="0"/>
          <w:bCs w:val="0"/>
          <w:sz w:val="32"/>
          <w:szCs w:val="32"/>
          <w:lang w:val="en-US" w:eastAsia="zh-CN"/>
        </w:rPr>
        <w:t>277500</w:t>
      </w:r>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无</w:t>
      </w:r>
      <w:bookmarkStart w:id="0" w:name="_GoBack"/>
      <w:bookmarkEnd w:id="0"/>
    </w:p>
    <w:p>
      <w:pPr>
        <w:keepNext w:val="0"/>
        <w:keepLines w:val="0"/>
        <w:pageBreakBefore w:val="0"/>
        <w:widowControl w:val="0"/>
        <w:kinsoku/>
        <w:overflowPunct/>
        <w:topLinePunct w:val="0"/>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电子信箱:</w:t>
      </w:r>
      <w:r>
        <w:rPr>
          <w:rFonts w:hint="eastAsia" w:ascii="仿宋_GB2312" w:hAnsi="仿宋_GB2312" w:eastAsia="仿宋_GB2312" w:cs="仿宋_GB2312"/>
          <w:b w:val="0"/>
          <w:bCs w:val="0"/>
          <w:sz w:val="32"/>
          <w:szCs w:val="32"/>
          <w:highlight w:val="none"/>
          <w:lang w:val="en-US" w:eastAsia="zh-CN"/>
        </w:rPr>
        <w:t>tzxany@163.com</w:t>
      </w:r>
      <w:r>
        <w:rPr>
          <w:rFonts w:hint="eastAsia" w:ascii="仿宋_GB2312" w:hAnsi="仿宋_GB2312" w:eastAsia="仿宋_GB2312" w:cs="仿宋_GB2312"/>
          <w:b w:val="0"/>
          <w:bCs w:val="0"/>
          <w:sz w:val="32"/>
          <w:szCs w:val="32"/>
          <w:highlight w:val="none"/>
        </w:rPr>
        <w:t xml:space="preserve"> </w:t>
      </w:r>
    </w:p>
    <w:p>
      <w:pPr>
        <w:keepNext w:val="0"/>
        <w:keepLines w:val="0"/>
        <w:pageBreakBefore w:val="0"/>
        <w:widowControl w:val="0"/>
        <w:kinsoku/>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9．公司简介:</w:t>
      </w:r>
      <w:r>
        <w:rPr>
          <w:rFonts w:hint="eastAsia" w:ascii="仿宋_GB2312" w:hAnsi="仿宋_GB2312" w:eastAsia="仿宋_GB2312" w:cs="仿宋_GB2312"/>
          <w:sz w:val="32"/>
          <w:szCs w:val="32"/>
          <w:lang w:val="en-US" w:eastAsia="zh-CN"/>
        </w:rPr>
        <w:t>滕州新奥能源物流港有限公司是由山东水运发展集团有限公司和山东商润投资集团有限公司共同出资组建，注册资本伍仟伍佰万元整，其中山东水运发展集团有限公司持55%的股份、山东商润投资集团有限公司持45%的股份。</w:t>
      </w:r>
    </w:p>
    <w:p>
      <w:pPr>
        <w:keepNext w:val="0"/>
        <w:keepLines w:val="0"/>
        <w:pageBreakBefore w:val="0"/>
        <w:widowControl w:val="0"/>
        <w:kinsoku/>
        <w:overflowPunct/>
        <w:topLinePunct w:val="0"/>
        <w:bidi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目前滕州港公司投资建设完成了滕州新港一期项目，该项目于2017年6月30日开工建设，2018年12月30日交工验收，占地面积450亩，总投资2.3亿元人民币，设计年吞吐量508万吨，码头岸线478米，先后建设完成了堆场20余万平方米、皮带机地下廊道1500余米、16吨固定吊机2台、变幅移动式装船机3台、2000吨级装船泊位6个；配套设施有办公楼、候工楼、职工餐厅、环保、安全、计量及给排水设施等。</w:t>
      </w:r>
    </w:p>
    <w:p>
      <w:pPr>
        <w:keepNext w:val="0"/>
        <w:keepLines w:val="0"/>
        <w:pageBreakBefore w:val="0"/>
        <w:widowControl w:val="0"/>
        <w:kinsoku/>
        <w:overflowPunct/>
        <w:topLinePunct w:val="0"/>
        <w:bidi w:val="0"/>
        <w:spacing w:line="600" w:lineRule="exact"/>
        <w:ind w:firstLine="723" w:firstLineChars="225"/>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、季度内发生的重大事项及对企业的影响：</w:t>
      </w:r>
      <w:r>
        <w:rPr>
          <w:rFonts w:ascii="黑体" w:hAnsi="黑体" w:eastAsia="黑体" w:cs="黑体"/>
          <w:b/>
          <w:bCs/>
          <w:sz w:val="32"/>
          <w:szCs w:val="32"/>
        </w:rPr>
        <w:t xml:space="preserve"> </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1．重大决策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2．重大项目安排</w:t>
      </w:r>
      <w:r>
        <w:rPr>
          <w:rFonts w:hint="eastAsia" w:ascii="仿宋_GB2312" w:hAnsi="仿宋_GB2312" w:eastAsia="仿宋_GB2312" w:cs="仿宋_GB2312"/>
          <w:b w:val="0"/>
          <w:bCs w:val="0"/>
          <w:sz w:val="32"/>
          <w:szCs w:val="32"/>
          <w:lang w:eastAsia="zh-CN"/>
        </w:rPr>
        <w:t>：无。</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3．重要人事任免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根据滕州新奥能源物流港有限公司2021年第一次临时股东会，同意</w:t>
      </w:r>
      <w:r>
        <w:rPr>
          <w:rFonts w:hint="eastAsia" w:ascii="仿宋_GB2312" w:eastAsia="仿宋_GB2312" w:cs="宋体"/>
          <w:sz w:val="32"/>
          <w:szCs w:val="32"/>
          <w:lang w:eastAsia="zh-CN"/>
        </w:rPr>
        <w:t>常福锦</w:t>
      </w:r>
      <w:r>
        <w:rPr>
          <w:rFonts w:hint="eastAsia" w:ascii="仿宋_GB2312" w:eastAsia="仿宋_GB2312" w:cs="宋体"/>
          <w:sz w:val="32"/>
          <w:szCs w:val="32"/>
        </w:rPr>
        <w:t>为滕州新奥能源物流港有限公司董事人选</w:t>
      </w:r>
      <w:r>
        <w:rPr>
          <w:rFonts w:hint="eastAsia" w:ascii="仿宋_GB2312" w:eastAsia="仿宋_GB2312" w:cs="宋体"/>
          <w:sz w:val="32"/>
          <w:szCs w:val="32"/>
          <w:lang w:eastAsia="zh-CN"/>
        </w:rPr>
        <w:t>，钟学雨</w:t>
      </w:r>
      <w:r>
        <w:rPr>
          <w:rFonts w:hint="eastAsia" w:ascii="仿宋_GB2312" w:eastAsia="仿宋_GB2312" w:cs="宋体"/>
          <w:sz w:val="32"/>
          <w:szCs w:val="32"/>
        </w:rPr>
        <w:t>不再担任滕州新奥能源物流港有限公司董事职务。</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根据滕州新奥能源物流港有限公司第二届董事会第三次会议（临时），同意免去钟学雨公司董事长职务，推荐田建国董事为董事长候选人。</w:t>
      </w:r>
    </w:p>
    <w:p>
      <w:pPr>
        <w:keepNext w:val="0"/>
        <w:keepLines w:val="0"/>
        <w:pageBreakBefore w:val="0"/>
        <w:widowControl w:val="0"/>
        <w:kinsoku/>
        <w:overflowPunct/>
        <w:topLinePunct w:val="0"/>
        <w:bidi w:val="0"/>
        <w:adjustRightInd w:val="0"/>
        <w:snapToGrid w:val="0"/>
        <w:spacing w:line="600" w:lineRule="exact"/>
        <w:ind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4．大额资金使用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无。</w:t>
      </w: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lang w:val="en-US" w:eastAsia="zh-CN"/>
        </w:rPr>
      </w:pPr>
    </w:p>
    <w:p>
      <w:pPr>
        <w:keepNext w:val="0"/>
        <w:keepLines w:val="0"/>
        <w:pageBreakBefore w:val="0"/>
        <w:widowControl w:val="0"/>
        <w:kinsoku/>
        <w:overflowPunct/>
        <w:topLinePunct w:val="0"/>
        <w:bidi w:val="0"/>
        <w:adjustRightInd w:val="0"/>
        <w:snapToGrid w:val="0"/>
        <w:spacing w:line="600" w:lineRule="exact"/>
        <w:ind w:firstLine="640" w:firstLineChars="200"/>
        <w:jc w:val="righ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滕州新奥能源物流港有限公司</w:t>
      </w:r>
    </w:p>
    <w:p>
      <w:pPr>
        <w:keepNext w:val="0"/>
        <w:keepLines w:val="0"/>
        <w:pageBreakBefore w:val="0"/>
        <w:widowControl w:val="0"/>
        <w:kinsoku/>
        <w:overflowPunct/>
        <w:topLinePunct w:val="0"/>
        <w:bidi w:val="0"/>
        <w:adjustRightInd w:val="0"/>
        <w:snapToGrid w:val="0"/>
        <w:spacing w:line="600" w:lineRule="exact"/>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cs="仿宋_GB2312"/>
          <w:sz w:val="32"/>
          <w:szCs w:val="32"/>
          <w:lang w:val="en-US" w:eastAsia="zh-CN"/>
        </w:rPr>
        <w:t xml:space="preserve">                     2021</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20</w:t>
      </w:r>
      <w:r>
        <w:rPr>
          <w:rFonts w:hint="eastAsia" w:ascii="仿宋_GB2312" w:eastAsia="仿宋_GB2312" w:cs="仿宋_GB2312"/>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40"/>
          <w:lang w:val="en-US" w:eastAsia="zh-CN"/>
        </w:rPr>
      </w:pPr>
      <w:r>
        <w:rPr>
          <w:rFonts w:hint="eastAsia" w:ascii="仿宋_GB2312" w:eastAsia="仿宋_GB2312"/>
          <w:sz w:val="32"/>
          <w:szCs w:val="32"/>
          <w:lang w:val="en-US" w:eastAsia="zh-CN"/>
        </w:rPr>
        <w:t xml:space="preserve">    </w:t>
      </w:r>
    </w:p>
    <w:p>
      <w:pPr>
        <w:keepNext w:val="0"/>
        <w:keepLines w:val="0"/>
        <w:pageBreakBefore w:val="0"/>
        <w:widowControl w:val="0"/>
        <w:numPr>
          <w:ilvl w:val="0"/>
          <w:numId w:val="0"/>
        </w:numPr>
        <w:kinsoku/>
        <w:overflowPunct/>
        <w:topLinePunct w:val="0"/>
        <w:bidi w:val="0"/>
        <w:spacing w:line="600" w:lineRule="exact"/>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0BA4"/>
    <w:rsid w:val="02FE4E8D"/>
    <w:rsid w:val="116A4946"/>
    <w:rsid w:val="12F04D3E"/>
    <w:rsid w:val="235F7240"/>
    <w:rsid w:val="3D91504D"/>
    <w:rsid w:val="3F844153"/>
    <w:rsid w:val="4370620F"/>
    <w:rsid w:val="4B5954F5"/>
    <w:rsid w:val="56012046"/>
    <w:rsid w:val="569C1014"/>
    <w:rsid w:val="67AF1A07"/>
    <w:rsid w:val="6E0F37D1"/>
    <w:rsid w:val="7C130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Autospacing="1" w:afterAutospacing="1"/>
      <w:jc w:val="left"/>
    </w:pPr>
    <w:rPr>
      <w:kern w:val="0"/>
      <w:sz w:val="24"/>
    </w:rPr>
  </w:style>
  <w:style w:type="paragraph" w:styleId="3">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2021-06-10T11:21:00Z</dcterms:created>
  <dc:creator>summer</dc:creator>
  <cp:lastModifiedBy>张翮</cp:lastModifiedBy>
  <cp:lastPrinted>2021-06-23T03:54:00Z</cp:lastPrinted>
  <dcterms:modified xsi:type="dcterms:W3CDTF">2022-04-14T02:32:37Z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9F98D6994AAA4C148DA64B430CF0C8DC</vt:lpwstr>
  </property>
</Properties>
</file>