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60" w:lineRule="exact"/>
        <w:rPr>
          <w:rFonts w:hint="eastAsia" w:ascii="方正小标宋简体" w:hAnsi="黑体" w:eastAsia="方正小标宋简体" w:cs="方正小标宋简体"/>
          <w:b w:val="0"/>
          <w:bCs w:val="0"/>
          <w:color w:val="000000"/>
          <w:sz w:val="44"/>
          <w:szCs w:val="44"/>
          <w:lang w:val="en-US" w:eastAsia="zh-CN"/>
        </w:rPr>
      </w:pPr>
    </w:p>
    <w:p>
      <w:pPr>
        <w:pStyle w:val="2"/>
        <w:spacing w:before="0" w:after="0" w:line="560" w:lineRule="exact"/>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lang w:val="en-US" w:eastAsia="zh-CN"/>
        </w:rPr>
        <w:t>山东水运发展</w:t>
      </w:r>
      <w:r>
        <w:rPr>
          <w:rFonts w:hint="eastAsia" w:ascii="方正小标宋简体" w:hAnsi="黑体" w:eastAsia="方正小标宋简体" w:cs="方正小标宋简体"/>
          <w:b w:val="0"/>
          <w:bCs w:val="0"/>
          <w:color w:val="000000"/>
          <w:sz w:val="44"/>
          <w:szCs w:val="44"/>
        </w:rPr>
        <w:t>集团有限公司</w:t>
      </w:r>
    </w:p>
    <w:p>
      <w:pPr>
        <w:pStyle w:val="2"/>
        <w:spacing w:before="0" w:after="0" w:line="560" w:lineRule="exact"/>
        <w:rPr>
          <w:rFonts w:ascii="方正小标宋简体" w:hAnsi="黑体" w:eastAsia="方正小标宋简体" w:cs="方正小标宋简体"/>
          <w:b w:val="0"/>
          <w:bCs w:val="0"/>
          <w:color w:val="000000"/>
          <w:sz w:val="44"/>
          <w:szCs w:val="44"/>
        </w:rPr>
      </w:pPr>
      <w:r>
        <w:rPr>
          <w:rFonts w:hint="eastAsia" w:ascii="方正小标宋简体" w:hAnsi="黑体" w:eastAsia="方正小标宋简体" w:cs="方正小标宋简体"/>
          <w:b w:val="0"/>
          <w:bCs w:val="0"/>
          <w:color w:val="000000"/>
          <w:sz w:val="44"/>
          <w:szCs w:val="44"/>
        </w:rPr>
        <w:t xml:space="preserve"> </w:t>
      </w:r>
      <w:r>
        <w:rPr>
          <w:rFonts w:hint="eastAsia" w:ascii="方正小标宋简体" w:hAnsi="黑体" w:eastAsia="方正小标宋简体" w:cs="方正小标宋简体"/>
          <w:b w:val="0"/>
          <w:bCs w:val="0"/>
          <w:color w:val="000000"/>
          <w:sz w:val="44"/>
          <w:szCs w:val="44"/>
          <w:lang w:val="en-US" w:eastAsia="zh-CN"/>
        </w:rPr>
        <w:t>2021</w:t>
      </w:r>
      <w:r>
        <w:rPr>
          <w:rFonts w:hint="eastAsia" w:ascii="方正小标宋简体" w:hAnsi="黑体" w:eastAsia="方正小标宋简体" w:cs="方正小标宋简体"/>
          <w:b w:val="0"/>
          <w:bCs w:val="0"/>
          <w:color w:val="000000"/>
          <w:sz w:val="44"/>
          <w:szCs w:val="44"/>
        </w:rPr>
        <w:t>年</w:t>
      </w:r>
      <w:r>
        <w:rPr>
          <w:rFonts w:hint="eastAsia" w:ascii="方正小标宋简体" w:hAnsi="黑体" w:eastAsia="方正小标宋简体" w:cs="方正小标宋简体"/>
          <w:b w:val="0"/>
          <w:bCs w:val="0"/>
          <w:color w:val="000000"/>
          <w:sz w:val="44"/>
          <w:szCs w:val="44"/>
          <w:lang w:val="en-US" w:eastAsia="zh-CN"/>
        </w:rPr>
        <w:t>度</w:t>
      </w:r>
      <w:r>
        <w:rPr>
          <w:rFonts w:hint="eastAsia" w:ascii="方正小标宋简体" w:hAnsi="黑体" w:eastAsia="方正小标宋简体" w:cs="方正小标宋简体"/>
          <w:b w:val="0"/>
          <w:bCs w:val="0"/>
          <w:color w:val="000000"/>
          <w:sz w:val="44"/>
          <w:szCs w:val="44"/>
        </w:rPr>
        <w:t>信息公告</w:t>
      </w:r>
    </w:p>
    <w:p>
      <w:pPr>
        <w:autoSpaceDE w:val="0"/>
        <w:autoSpaceDN w:val="0"/>
        <w:adjustRightInd w:val="0"/>
        <w:spacing w:line="360" w:lineRule="exact"/>
        <w:jc w:val="center"/>
        <w:rPr>
          <w:rFonts w:ascii="仿宋_GB2312" w:cs="Times New Roman"/>
          <w:color w:val="000000"/>
          <w:sz w:val="36"/>
          <w:szCs w:val="36"/>
        </w:rPr>
      </w:pPr>
    </w:p>
    <w:p>
      <w:pPr>
        <w:autoSpaceDE w:val="0"/>
        <w:autoSpaceDN w:val="0"/>
        <w:adjustRightInd w:val="0"/>
        <w:spacing w:line="360" w:lineRule="exact"/>
        <w:jc w:val="center"/>
        <w:rPr>
          <w:rFonts w:ascii="仿宋_GB2312" w:cs="Times New Roman"/>
          <w:color w:val="000000"/>
        </w:rPr>
      </w:pPr>
    </w:p>
    <w:p>
      <w:pPr>
        <w:pBdr>
          <w:top w:val="single" w:color="auto" w:sz="4" w:space="1"/>
          <w:left w:val="single" w:color="auto" w:sz="4" w:space="4"/>
          <w:bottom w:val="single" w:color="auto" w:sz="4" w:space="1"/>
          <w:right w:val="single" w:color="auto" w:sz="4" w:space="4"/>
        </w:pBdr>
        <w:adjustRightInd w:val="0"/>
        <w:snapToGrid w:val="0"/>
        <w:spacing w:line="360" w:lineRule="auto"/>
        <w:ind w:firstLine="480" w:firstLineChars="150"/>
        <w:rPr>
          <w:rFonts w:ascii="仿宋_GB2312" w:eastAsia="仿宋_GB2312" w:cs="Times New Roman"/>
          <w:sz w:val="32"/>
          <w:szCs w:val="32"/>
        </w:rPr>
      </w:pPr>
      <w:r>
        <w:rPr>
          <w:rFonts w:hint="eastAsia" w:ascii="仿宋_GB2312" w:eastAsia="仿宋_GB2312" w:cs="仿宋_GB2312"/>
          <w:sz w:val="32"/>
          <w:szCs w:val="32"/>
        </w:rPr>
        <w:t>本公司保证本公告内容不存在任何虚假记载、误导性陈述或者重大遗漏，并对其内容的真实性、准确性和完整性承担个别及连带责任。</w:t>
      </w:r>
    </w:p>
    <w:p>
      <w:pPr>
        <w:adjustRightInd w:val="0"/>
        <w:snapToGrid w:val="0"/>
        <w:spacing w:line="360" w:lineRule="auto"/>
        <w:ind w:firstLine="482" w:firstLineChars="200"/>
        <w:rPr>
          <w:rFonts w:ascii="宋体" w:hAnsi="宋体" w:eastAsia="宋体" w:cs="Times New Roman"/>
          <w:b/>
          <w:bCs/>
          <w:color w:val="000000"/>
        </w:rPr>
      </w:pPr>
    </w:p>
    <w:p>
      <w:pPr>
        <w:adjustRightInd w:val="0"/>
        <w:snapToGrid w:val="0"/>
        <w:spacing w:line="560" w:lineRule="exact"/>
        <w:ind w:firstLine="640" w:firstLineChars="200"/>
        <w:rPr>
          <w:rFonts w:ascii="仿宋_GB2312" w:eastAsia="仿宋_GB2312" w:cs="Times New Roman"/>
          <w:b w:val="0"/>
          <w:bCs w:val="0"/>
          <w:sz w:val="32"/>
          <w:szCs w:val="32"/>
        </w:rPr>
      </w:pPr>
      <w:r>
        <w:rPr>
          <w:rFonts w:hint="eastAsia" w:ascii="黑体" w:hAnsi="黑体" w:eastAsia="黑体" w:cs="黑体"/>
          <w:b w:val="0"/>
          <w:bCs w:val="0"/>
          <w:sz w:val="32"/>
          <w:szCs w:val="32"/>
        </w:rPr>
        <w:t>一、公司基本情况</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1．中文名称：</w:t>
      </w:r>
      <w:r>
        <w:rPr>
          <w:rFonts w:hint="eastAsia" w:ascii="仿宋_GB2312" w:hAnsi="仿宋_GB2312" w:eastAsia="仿宋_GB2312" w:cs="仿宋_GB2312"/>
          <w:b w:val="0"/>
          <w:bCs w:val="0"/>
          <w:sz w:val="32"/>
          <w:szCs w:val="32"/>
          <w:lang w:val="en-US" w:eastAsia="zh-CN"/>
        </w:rPr>
        <w:t>山东水运发展</w:t>
      </w:r>
      <w:r>
        <w:rPr>
          <w:rFonts w:hint="eastAsia" w:ascii="仿宋_GB2312" w:hAnsi="仿宋_GB2312" w:eastAsia="仿宋_GB2312" w:cs="仿宋_GB2312"/>
          <w:b w:val="0"/>
          <w:bCs w:val="0"/>
          <w:sz w:val="32"/>
          <w:szCs w:val="32"/>
        </w:rPr>
        <w:t xml:space="preserve">集团有限公司                </w:t>
      </w:r>
    </w:p>
    <w:p>
      <w:pPr>
        <w:adjustRightInd w:val="0"/>
        <w:snapToGrid w:val="0"/>
        <w:spacing w:line="560" w:lineRule="exact"/>
        <w:ind w:firstLine="1360" w:firstLineChars="4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简</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称：</w:t>
      </w:r>
      <w:r>
        <w:rPr>
          <w:rFonts w:hint="eastAsia" w:ascii="仿宋_GB2312" w:hAnsi="仿宋_GB2312" w:eastAsia="仿宋_GB2312" w:cs="仿宋_GB2312"/>
          <w:b w:val="0"/>
          <w:bCs w:val="0"/>
          <w:sz w:val="32"/>
          <w:szCs w:val="32"/>
          <w:lang w:val="en-US" w:eastAsia="zh-CN"/>
        </w:rPr>
        <w:t>山东水运集团</w:t>
      </w: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720" w:firstLineChars="225"/>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2．外文名称：</w:t>
      </w:r>
      <w:r>
        <w:rPr>
          <w:rFonts w:hint="eastAsia" w:ascii="仿宋_GB2312" w:hAnsi="仿宋_GB2312" w:eastAsia="仿宋_GB2312" w:cs="仿宋_GB2312"/>
          <w:b w:val="0"/>
          <w:bCs w:val="0"/>
          <w:sz w:val="32"/>
          <w:szCs w:val="32"/>
          <w:lang w:val="en-US" w:eastAsia="zh-CN"/>
        </w:rPr>
        <w:t>Shandong Water Transport Development Group Ltd.</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3．法定代表人：</w:t>
      </w:r>
      <w:r>
        <w:rPr>
          <w:rFonts w:hint="eastAsia" w:ascii="仿宋_GB2312" w:hAnsi="仿宋_GB2312" w:eastAsia="仿宋_GB2312" w:cs="仿宋_GB2312"/>
          <w:b w:val="0"/>
          <w:bCs w:val="0"/>
          <w:sz w:val="32"/>
          <w:szCs w:val="32"/>
          <w:lang w:val="en-US" w:eastAsia="zh-CN"/>
        </w:rPr>
        <w:t>钟学雨</w:t>
      </w:r>
      <w:r>
        <w:rPr>
          <w:rFonts w:hint="eastAsia" w:ascii="仿宋_GB2312" w:hAnsi="仿宋_GB2312" w:eastAsia="仿宋_GB2312" w:cs="仿宋_GB2312"/>
          <w:b w:val="0"/>
          <w:bCs w:val="0"/>
          <w:sz w:val="32"/>
          <w:szCs w:val="32"/>
        </w:rPr>
        <w:t xml:space="preserve"> </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4．注册地址：</w:t>
      </w:r>
      <w:r>
        <w:rPr>
          <w:rFonts w:hint="eastAsia" w:ascii="仿宋_GB2312" w:hAnsi="仿宋_GB2312" w:eastAsia="仿宋_GB2312" w:cs="仿宋_GB2312"/>
          <w:b w:val="0"/>
          <w:bCs w:val="0"/>
          <w:sz w:val="32"/>
          <w:szCs w:val="32"/>
          <w:lang w:val="en-US" w:eastAsia="zh-CN"/>
        </w:rPr>
        <w:t>山东省</w:t>
      </w:r>
      <w:r>
        <w:rPr>
          <w:rFonts w:hint="eastAsia" w:ascii="仿宋_GB2312" w:hAnsi="仿宋_GB2312" w:eastAsia="仿宋_GB2312" w:cs="仿宋_GB2312"/>
          <w:b w:val="0"/>
          <w:bCs w:val="0"/>
          <w:sz w:val="32"/>
          <w:szCs w:val="32"/>
        </w:rPr>
        <w:t>济南市高新区经十路7000号汉峪金谷商业区A1-5号楼山东海洋大厦26楼</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5．经营范围：海河联运工程项目投资建设；内河及沿海航道、船闸、港口码头基础设施投资建设、管理、运营、养护及咨询服务（包含经有权部门授权许可的内河航道、船闸、港口收费及管理等）;水路运输、港口物流、仓储（不含化学危险品）；内河文化旅游、救援、清污、清障。</w:t>
      </w:r>
    </w:p>
    <w:p>
      <w:pPr>
        <w:adjustRightInd w:val="0"/>
        <w:snapToGrid w:val="0"/>
        <w:spacing w:line="560" w:lineRule="exact"/>
        <w:ind w:firstLine="720" w:firstLineChars="225"/>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6．办公地址：</w:t>
      </w:r>
      <w:r>
        <w:rPr>
          <w:rFonts w:hint="eastAsia" w:ascii="仿宋_GB2312" w:hAnsi="仿宋_GB2312" w:eastAsia="仿宋_GB2312" w:cs="仿宋_GB2312"/>
          <w:b w:val="0"/>
          <w:bCs w:val="0"/>
          <w:sz w:val="32"/>
          <w:szCs w:val="32"/>
          <w:lang w:val="en-US" w:eastAsia="zh-CN"/>
        </w:rPr>
        <w:t>山东省</w:t>
      </w:r>
      <w:r>
        <w:rPr>
          <w:rFonts w:hint="eastAsia" w:ascii="仿宋_GB2312" w:hAnsi="仿宋_GB2312" w:eastAsia="仿宋_GB2312" w:cs="仿宋_GB2312"/>
          <w:b w:val="0"/>
          <w:bCs w:val="0"/>
          <w:sz w:val="32"/>
          <w:szCs w:val="32"/>
        </w:rPr>
        <w:t>济南市高新区经十路7000号汉峪金谷商业区A1-5号楼山东海洋大厦26楼     邮政编码：</w:t>
      </w:r>
      <w:r>
        <w:rPr>
          <w:rFonts w:hint="eastAsia" w:ascii="仿宋_GB2312" w:hAnsi="仿宋_GB2312" w:eastAsia="仿宋_GB2312" w:cs="仿宋_GB2312"/>
          <w:b w:val="0"/>
          <w:bCs w:val="0"/>
          <w:sz w:val="32"/>
          <w:szCs w:val="32"/>
          <w:lang w:val="en-US" w:eastAsia="zh-CN"/>
        </w:rPr>
        <w:t>250102</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7．网址：</w:t>
      </w:r>
      <w:r>
        <w:rPr>
          <w:rFonts w:hint="eastAsia" w:ascii="仿宋_GB2312" w:hAnsi="仿宋_GB2312" w:eastAsia="仿宋_GB2312" w:cs="仿宋_GB2312"/>
          <w:b w:val="0"/>
          <w:bCs w:val="0"/>
          <w:sz w:val="32"/>
          <w:szCs w:val="32"/>
          <w:lang w:val="en-US" w:eastAsia="zh-CN"/>
        </w:rPr>
        <w:t>www.sdsy.com.cn</w:t>
      </w:r>
      <w:r>
        <w:rPr>
          <w:rFonts w:hint="eastAsia" w:ascii="仿宋_GB2312" w:hAnsi="仿宋_GB2312" w:eastAsia="仿宋_GB2312" w:cs="仿宋_GB2312"/>
          <w:b w:val="0"/>
          <w:bCs w:val="0"/>
          <w:sz w:val="32"/>
          <w:szCs w:val="32"/>
        </w:rPr>
        <w:t xml:space="preserve"> </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8．</w:t>
      </w:r>
      <w:r>
        <w:rPr>
          <w:rFonts w:hint="eastAsia" w:ascii="仿宋_GB2312" w:hAnsi="仿宋_GB2312" w:eastAsia="仿宋_GB2312" w:cs="仿宋_GB2312"/>
          <w:b w:val="0"/>
          <w:bCs w:val="0"/>
          <w:sz w:val="32"/>
          <w:szCs w:val="32"/>
          <w:highlight w:val="none"/>
        </w:rPr>
        <w:t xml:space="preserve">电子信箱: </w:t>
      </w:r>
      <w:r>
        <w:rPr>
          <w:rFonts w:hint="eastAsia" w:ascii="仿宋_GB2312" w:hAnsi="仿宋_GB2312" w:eastAsia="仿宋_GB2312" w:cs="仿宋_GB2312"/>
          <w:b w:val="0"/>
          <w:bCs w:val="0"/>
          <w:sz w:val="32"/>
          <w:szCs w:val="32"/>
          <w:highlight w:val="none"/>
          <w:lang w:val="en-US" w:eastAsia="zh-CN"/>
        </w:rPr>
        <w:t>无</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9．公司简介: 山东水运发展集团有限公司是山东海洋集团有限公司旗下从事内河港航投资运营的主体企业，成立于2013年8月，注册资本15亿元。山东水运发展集团有限公司是山东省加快内河基础设施建设，促进区域经济协调发展的核心投融资平台，在国家和山东省对港航基础设施建设财政投资的基础上，作为财政投资资金缺口的有效补充，利用资金的杠杆作用，以经济效益为中心，充分发挥国有资本投资导向作用，服务山东省会城市经济圈、蓝黄两区、西部经济隆起带等重大区域发展战略的建设。</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公司</w:t>
      </w:r>
      <w:r>
        <w:rPr>
          <w:rFonts w:hint="eastAsia" w:ascii="仿宋_GB2312" w:hAnsi="仿宋_GB2312" w:eastAsia="仿宋_GB2312" w:cs="仿宋_GB2312"/>
          <w:b w:val="0"/>
          <w:bCs w:val="0"/>
          <w:sz w:val="32"/>
          <w:szCs w:val="32"/>
        </w:rPr>
        <w:t>目前是我省内河港航领域规模最大、门类最齐全的龙头企业</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先后运营了济宁洙水河航道、枣庄峄州港、滕州港等项目，东平港项目（在建），接收了京杭运河山东段船闸管理权，确保了改革过程中收费、管理、服务“三个不断档”，推动了我省内河水运行业市场化进程和高质量发展。</w:t>
      </w:r>
    </w:p>
    <w:p>
      <w:pPr>
        <w:ind w:firstLine="720" w:firstLineChars="225"/>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rPr>
        <w:t>、</w:t>
      </w:r>
      <w:r>
        <w:rPr>
          <w:rFonts w:hint="eastAsia" w:ascii="黑体" w:hAnsi="黑体" w:eastAsia="黑体" w:cs="黑体"/>
          <w:b w:val="0"/>
          <w:bCs w:val="0"/>
          <w:sz w:val="32"/>
          <w:szCs w:val="32"/>
          <w:lang w:val="en-US" w:eastAsia="zh-CN"/>
        </w:rPr>
        <w:t>报告期</w:t>
      </w:r>
      <w:r>
        <w:rPr>
          <w:rFonts w:hint="eastAsia" w:ascii="黑体" w:hAnsi="黑体" w:eastAsia="黑体" w:cs="黑体"/>
          <w:b w:val="0"/>
          <w:bCs w:val="0"/>
          <w:sz w:val="32"/>
          <w:szCs w:val="32"/>
        </w:rPr>
        <w:t>内发生的重大事项及对企业的影响</w:t>
      </w:r>
      <w:r>
        <w:rPr>
          <w:rFonts w:ascii="黑体" w:hAnsi="黑体" w:eastAsia="黑体" w:cs="黑体"/>
          <w:b w:val="0"/>
          <w:bCs w:val="0"/>
          <w:sz w:val="32"/>
          <w:szCs w:val="32"/>
        </w:rPr>
        <w:t xml:space="preserve"> </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重大决策</w:t>
      </w:r>
    </w:p>
    <w:p>
      <w:pPr>
        <w:adjustRightInd w:val="0"/>
        <w:snapToGrid w:val="0"/>
        <w:spacing w:line="560" w:lineRule="exact"/>
        <w:ind w:firstLine="720" w:firstLineChars="225"/>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报告期内经股东决定审议通过的重大决策有《关于公司2020年度投资计划执行情况及2021年度投资计划的议案》等6项议案；经公司董事会审议通过的重大决策有《关于制定</w:t>
      </w:r>
      <w:r>
        <w:rPr>
          <w:rFonts w:hint="eastAsia" w:ascii="仿宋_GB2312" w:hAnsi="宋体" w:eastAsia="仿宋_GB2312"/>
          <w:sz w:val="32"/>
          <w:szCs w:val="32"/>
          <w:lang w:val="en-US" w:eastAsia="zh-CN"/>
        </w:rPr>
        <w:t>&lt;</w:t>
      </w:r>
      <w:r>
        <w:rPr>
          <w:rFonts w:hint="eastAsia" w:ascii="仿宋_GB2312" w:hAnsi="仿宋_GB2312" w:eastAsia="仿宋_GB2312" w:cs="仿宋_GB2312"/>
          <w:b w:val="0"/>
          <w:bCs w:val="0"/>
          <w:sz w:val="32"/>
          <w:szCs w:val="32"/>
          <w:lang w:val="en-US" w:eastAsia="zh-CN"/>
        </w:rPr>
        <w:t>采购管理办法（试行）</w:t>
      </w:r>
      <w:r>
        <w:rPr>
          <w:rFonts w:hint="eastAsia" w:ascii="仿宋_GB2312" w:hAnsi="宋体" w:eastAsia="仿宋_GB2312"/>
          <w:sz w:val="32"/>
          <w:szCs w:val="32"/>
          <w:lang w:val="en-US" w:eastAsia="zh-CN"/>
        </w:rPr>
        <w:t>&gt;</w:t>
      </w:r>
      <w:r>
        <w:rPr>
          <w:rFonts w:hint="eastAsia" w:ascii="仿宋_GB2312" w:hAnsi="仿宋_GB2312" w:eastAsia="仿宋_GB2312" w:cs="仿宋_GB2312"/>
          <w:b w:val="0"/>
          <w:bCs w:val="0"/>
          <w:sz w:val="32"/>
          <w:szCs w:val="32"/>
          <w:lang w:val="en-US" w:eastAsia="zh-CN"/>
        </w:rPr>
        <w:t>的议案》等</w:t>
      </w:r>
      <w:r>
        <w:rPr>
          <w:rFonts w:hint="eastAsia" w:ascii="仿宋_GB2312" w:hAnsi="仿宋_GB2312" w:eastAsia="仿宋_GB2312" w:cs="仿宋_GB2312"/>
          <w:b w:val="0"/>
          <w:bCs w:val="0"/>
          <w:sz w:val="32"/>
          <w:szCs w:val="32"/>
          <w:highlight w:val="none"/>
          <w:lang w:val="en-US" w:eastAsia="zh-CN"/>
        </w:rPr>
        <w:t>16</w:t>
      </w:r>
      <w:r>
        <w:rPr>
          <w:rFonts w:hint="eastAsia" w:ascii="仿宋_GB2312" w:hAnsi="仿宋_GB2312" w:eastAsia="仿宋_GB2312" w:cs="仿宋_GB2312"/>
          <w:b w:val="0"/>
          <w:bCs w:val="0"/>
          <w:sz w:val="32"/>
          <w:szCs w:val="32"/>
          <w:lang w:val="en-US" w:eastAsia="zh-CN"/>
        </w:rPr>
        <w:t>项议案。</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lang w:eastAsia="zh-CN"/>
        </w:rPr>
        <w:t>）重大项目安排</w:t>
      </w:r>
    </w:p>
    <w:p>
      <w:pPr>
        <w:numPr>
          <w:ilvl w:val="0"/>
          <w:numId w:val="0"/>
        </w:numPr>
        <w:adjustRightInd w:val="0"/>
        <w:snapToGrid w:val="0"/>
        <w:spacing w:line="560" w:lineRule="exact"/>
        <w:ind w:firstLine="960" w:firstLineChars="300"/>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w:t>
      </w:r>
    </w:p>
    <w:p>
      <w:pPr>
        <w:adjustRightInd w:val="0"/>
        <w:snapToGrid w:val="0"/>
        <w:spacing w:line="560" w:lineRule="exact"/>
        <w:ind w:firstLine="720" w:firstLineChars="225"/>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lang w:eastAsia="zh-CN"/>
        </w:rPr>
        <w:t>）重要人事任免</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Chars="0"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根据2021年11月15日山东水运发展集团有限公司第一届董事会第十九次会议决议，聘任宁伟为公司副总经理，不再担任财务总监职务；聘任王燕飞为公司财务总监；聘任张志伦为公司安全总监。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根据2021年12月22日山东水运发展集团有限公司职工代表大会决议，免去刘通公司职工董事职务，选举周新月为公司职工董事；免去张志伦公司职工监事职务，选举孔祥昀为公司职工监事。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四</w:t>
      </w:r>
      <w:r>
        <w:rPr>
          <w:rFonts w:hint="eastAsia" w:ascii="仿宋_GB2312" w:hAnsi="仿宋_GB2312" w:eastAsia="仿宋_GB2312" w:cs="仿宋_GB2312"/>
          <w:b w:val="0"/>
          <w:bCs w:val="0"/>
          <w:sz w:val="32"/>
          <w:szCs w:val="32"/>
          <w:lang w:eastAsia="zh-CN"/>
        </w:rPr>
        <w:t>）大额资金使用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报告期内，公司大额资金使用按照《山东水运发展集团有限公司2021年度预算》执行。</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640" w:leftChars="0" w:hanging="640" w:hangingChars="200"/>
        <w:textAlignment w:val="auto"/>
        <w:rPr>
          <w:rFonts w:hint="default" w:ascii="仿宋_GB2312" w:hAnsi="仿宋_GB2312" w:eastAsia="仿宋_GB2312" w:cs="仿宋_GB2312"/>
          <w:b w:val="0"/>
          <w:bCs w:val="0"/>
          <w:sz w:val="32"/>
          <w:szCs w:val="32"/>
          <w:lang w:val="en-US" w:eastAsia="zh-CN"/>
        </w:rPr>
      </w:pPr>
    </w:p>
    <w:p>
      <w:pPr>
        <w:adjustRightInd w:val="0"/>
        <w:snapToGrid w:val="0"/>
        <w:spacing w:line="360" w:lineRule="auto"/>
        <w:ind w:firstLine="640" w:firstLineChars="200"/>
        <w:jc w:val="right"/>
        <w:rPr>
          <w:rFonts w:ascii="仿宋_GB2312" w:eastAsia="仿宋_GB2312" w:cs="Times New Roman"/>
          <w:sz w:val="32"/>
          <w:szCs w:val="32"/>
        </w:rPr>
      </w:pPr>
    </w:p>
    <w:p>
      <w:pPr>
        <w:adjustRightInd w:val="0"/>
        <w:snapToGrid w:val="0"/>
        <w:spacing w:line="360" w:lineRule="auto"/>
        <w:ind w:firstLine="640" w:firstLineChars="200"/>
        <w:jc w:val="right"/>
        <w:rPr>
          <w:rFonts w:ascii="仿宋_GB2312" w:eastAsia="仿宋_GB2312" w:cs="Times New Roman"/>
          <w:sz w:val="32"/>
          <w:szCs w:val="32"/>
        </w:rPr>
      </w:pPr>
    </w:p>
    <w:p>
      <w:pPr>
        <w:adjustRightInd w:val="0"/>
        <w:snapToGrid w:val="0"/>
        <w:spacing w:line="360" w:lineRule="auto"/>
        <w:ind w:firstLine="640" w:firstLineChars="200"/>
        <w:jc w:val="right"/>
        <w:rPr>
          <w:rFonts w:ascii="仿宋_GB2312" w:eastAsia="仿宋_GB2312" w:cs="Times New Roman"/>
          <w:sz w:val="32"/>
          <w:szCs w:val="32"/>
        </w:rPr>
      </w:pPr>
      <w:r>
        <w:rPr>
          <w:rFonts w:hint="eastAsia" w:ascii="仿宋_GB2312" w:eastAsia="仿宋_GB2312" w:cs="仿宋_GB2312"/>
          <w:sz w:val="32"/>
          <w:szCs w:val="32"/>
          <w:lang w:val="en-US" w:eastAsia="zh-CN"/>
        </w:rPr>
        <w:t>山东水运发展</w:t>
      </w:r>
      <w:r>
        <w:rPr>
          <w:rFonts w:hint="eastAsia" w:ascii="仿宋_GB2312" w:eastAsia="仿宋_GB2312" w:cs="仿宋_GB2312"/>
          <w:sz w:val="32"/>
          <w:szCs w:val="32"/>
        </w:rPr>
        <w:t>集团有限公司</w:t>
      </w:r>
    </w:p>
    <w:p>
      <w:pPr>
        <w:adjustRightInd w:val="0"/>
        <w:snapToGrid w:val="0"/>
        <w:spacing w:line="360" w:lineRule="auto"/>
        <w:ind w:right="640" w:firstLine="4960" w:firstLineChars="1550"/>
        <w:rPr>
          <w:rFonts w:ascii="仿宋_GB2312" w:eastAsia="仿宋_GB2312" w:cs="Times New Roman"/>
          <w:sz w:val="32"/>
          <w:szCs w:val="32"/>
        </w:rPr>
      </w:pPr>
      <w:r>
        <w:rPr>
          <w:rFonts w:hint="eastAsia" w:ascii="仿宋_GB2312" w:eastAsia="仿宋_GB2312" w:cs="仿宋_GB2312"/>
          <w:sz w:val="32"/>
          <w:szCs w:val="32"/>
        </w:rPr>
        <w:t xml:space="preserve">  </w:t>
      </w:r>
      <w:r>
        <w:rPr>
          <w:rFonts w:hint="eastAsia" w:ascii="仿宋_GB2312" w:eastAsia="仿宋_GB2312" w:cs="仿宋_GB2312"/>
          <w:sz w:val="32"/>
          <w:szCs w:val="32"/>
          <w:lang w:val="en-US" w:eastAsia="zh-CN"/>
        </w:rPr>
        <w:t xml:space="preserve">  2022</w:t>
      </w:r>
      <w:r>
        <w:rPr>
          <w:rFonts w:hint="eastAsia" w:ascii="仿宋_GB2312" w:eastAsia="仿宋_GB2312" w:cs="仿宋_GB2312"/>
          <w:sz w:val="32"/>
          <w:szCs w:val="32"/>
        </w:rPr>
        <w:t>年</w:t>
      </w:r>
      <w:r>
        <w:rPr>
          <w:rFonts w:hint="eastAsia" w:ascii="仿宋_GB2312" w:eastAsia="仿宋_GB2312" w:cs="仿宋_GB2312"/>
          <w:sz w:val="32"/>
          <w:szCs w:val="32"/>
          <w:lang w:val="en-US" w:eastAsia="zh-CN"/>
        </w:rPr>
        <w:t xml:space="preserve"> 4</w:t>
      </w:r>
      <w:r>
        <w:rPr>
          <w:rFonts w:hint="eastAsia" w:ascii="仿宋_GB2312" w:eastAsia="仿宋_GB2312" w:cs="仿宋_GB2312"/>
          <w:sz w:val="32"/>
          <w:szCs w:val="32"/>
        </w:rPr>
        <w:t>月</w:t>
      </w:r>
      <w:r>
        <w:rPr>
          <w:rFonts w:hint="eastAsia" w:ascii="仿宋_GB2312" w:eastAsia="仿宋_GB2312" w:cs="仿宋_GB2312"/>
          <w:sz w:val="32"/>
          <w:szCs w:val="32"/>
          <w:lang w:val="en-US" w:eastAsia="zh-CN"/>
        </w:rPr>
        <w:t>20</w:t>
      </w:r>
      <w:bookmarkStart w:id="0" w:name="_GoBack"/>
      <w:bookmarkEnd w:id="0"/>
      <w:r>
        <w:rPr>
          <w:rFonts w:hint="eastAsia" w:ascii="仿宋_GB2312" w:eastAsia="仿宋_GB2312" w:cs="仿宋_GB2312"/>
          <w:sz w:val="32"/>
          <w:szCs w:val="32"/>
        </w:rPr>
        <w:t>日</w:t>
      </w:r>
    </w:p>
    <w:p/>
    <w:sectPr>
      <w:pgSz w:w="11906" w:h="16838"/>
      <w:pgMar w:top="1440" w:right="1633" w:bottom="1440" w:left="1519" w:header="851" w:footer="992" w:gutter="0"/>
      <w:cols w:space="425" w:num="1"/>
      <w:rtlGutter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panose1 w:val="02040602050305030304"/>
    <w:charset w:val="00"/>
    <w:family w:val="roman"/>
    <w:pitch w:val="default"/>
    <w:sig w:usb0="00000287" w:usb1="00000000" w:usb2="00000000" w:usb3="00000000" w:csb0="2000009F" w:csb1="DFD7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F24B98"/>
    <w:rsid w:val="00301439"/>
    <w:rsid w:val="00B8715C"/>
    <w:rsid w:val="05A91E14"/>
    <w:rsid w:val="0D98717D"/>
    <w:rsid w:val="0E1B109C"/>
    <w:rsid w:val="0F062439"/>
    <w:rsid w:val="11417B7E"/>
    <w:rsid w:val="127D5757"/>
    <w:rsid w:val="1661644A"/>
    <w:rsid w:val="17FB3BD3"/>
    <w:rsid w:val="1A457CA5"/>
    <w:rsid w:val="1D597A6C"/>
    <w:rsid w:val="20132E94"/>
    <w:rsid w:val="202F4114"/>
    <w:rsid w:val="20E50EAD"/>
    <w:rsid w:val="22E1640C"/>
    <w:rsid w:val="22F24B98"/>
    <w:rsid w:val="273161DF"/>
    <w:rsid w:val="286B0050"/>
    <w:rsid w:val="2E0C48F7"/>
    <w:rsid w:val="2E6B490D"/>
    <w:rsid w:val="3340328B"/>
    <w:rsid w:val="3D297526"/>
    <w:rsid w:val="46CA69D2"/>
    <w:rsid w:val="470F10D1"/>
    <w:rsid w:val="48A36527"/>
    <w:rsid w:val="535263A1"/>
    <w:rsid w:val="5617193A"/>
    <w:rsid w:val="573F1D02"/>
    <w:rsid w:val="5B416E04"/>
    <w:rsid w:val="5FE82707"/>
    <w:rsid w:val="628D21BB"/>
    <w:rsid w:val="66F477E9"/>
    <w:rsid w:val="6B24370F"/>
    <w:rsid w:val="7093656D"/>
    <w:rsid w:val="73223AF7"/>
    <w:rsid w:val="754D0738"/>
    <w:rsid w:val="79060049"/>
    <w:rsid w:val="7A3A0592"/>
    <w:rsid w:val="7B1727D0"/>
    <w:rsid w:val="7DC91373"/>
    <w:rsid w:val="7E423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ok Antiqua" w:hAnsi="Book Antiqua" w:eastAsia="楷体_GB2312" w:cs="Book Antiqua"/>
      <w:kern w:val="2"/>
      <w:sz w:val="24"/>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99"/>
    <w:pPr>
      <w:spacing w:before="240" w:after="60"/>
      <w:jc w:val="center"/>
      <w:outlineLvl w:val="0"/>
    </w:pPr>
    <w:rPr>
      <w:rFonts w:ascii="Cambria" w:hAnsi="Cambria" w:eastAsia="宋体" w:cs="Cambria"/>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2021-09-26T01:02:00Z</dcterms:created>
  <dc:creator>summer</dc:creator>
  <cp:lastModifiedBy>张翮</cp:lastModifiedBy>
  <cp:lastPrinted>2022-04-07T06:57:00Z</cp:lastPrinted>
  <dcterms:modified xsi:type="dcterms:W3CDTF">2022-04-20T01:05:22Z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