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1"/>
        <w:rPr>
          <w:rFonts w:hint="eastAsia" w:ascii="仿宋_GB2312" w:eastAsia="仿宋_GB2312"/>
          <w:sz w:val="32"/>
          <w:szCs w:val="32"/>
          <w:lang w:val="en-US" w:eastAsia="zh-CN"/>
        </w:rPr>
      </w:pPr>
    </w:p>
    <w:p>
      <w:pPr>
        <w:pStyle w:val="6"/>
        <w:keepNext w:val="0"/>
        <w:keepLines w:val="0"/>
        <w:pageBreakBefore w:val="0"/>
        <w:widowControl w:val="0"/>
        <w:kinsoku/>
        <w:wordWrap/>
        <w:overflowPunct/>
        <w:topLinePunct w:val="0"/>
        <w:bidi w:val="0"/>
        <w:spacing w:before="0" w:after="0" w:line="520" w:lineRule="exact"/>
        <w:textAlignment w:val="auto"/>
        <w:rPr>
          <w:rFonts w:ascii="方正小标宋简体" w:hAnsi="黑体" w:eastAsia="方正小标宋简体" w:cs="方正小标宋简体"/>
          <w:b w:val="0"/>
          <w:bCs w:val="0"/>
          <w:color w:val="000000"/>
          <w:sz w:val="44"/>
          <w:szCs w:val="44"/>
        </w:rPr>
      </w:pPr>
      <w:r>
        <w:rPr>
          <w:rFonts w:hint="eastAsia" w:ascii="方正小标宋简体" w:hAnsi="黑体" w:eastAsia="方正小标宋简体" w:cs="方正小标宋简体"/>
          <w:b w:val="0"/>
          <w:bCs w:val="0"/>
          <w:color w:val="000000"/>
          <w:sz w:val="44"/>
          <w:szCs w:val="44"/>
          <w:lang w:val="en-US" w:eastAsia="zh-CN"/>
        </w:rPr>
        <w:t>滕州新奥能源物流港</w:t>
      </w:r>
      <w:r>
        <w:rPr>
          <w:rFonts w:hint="eastAsia" w:ascii="方正小标宋简体" w:hAnsi="黑体" w:eastAsia="方正小标宋简体" w:cs="方正小标宋简体"/>
          <w:b w:val="0"/>
          <w:bCs w:val="0"/>
          <w:color w:val="000000"/>
          <w:sz w:val="44"/>
          <w:szCs w:val="44"/>
        </w:rPr>
        <w:t>有限公司</w:t>
      </w:r>
    </w:p>
    <w:p>
      <w:pPr>
        <w:pStyle w:val="6"/>
        <w:keepNext w:val="0"/>
        <w:keepLines w:val="0"/>
        <w:pageBreakBefore w:val="0"/>
        <w:widowControl w:val="0"/>
        <w:kinsoku/>
        <w:wordWrap/>
        <w:overflowPunct/>
        <w:topLinePunct w:val="0"/>
        <w:bidi w:val="0"/>
        <w:spacing w:before="0" w:after="0" w:line="520" w:lineRule="exact"/>
        <w:ind w:firstLine="2200" w:firstLineChars="500"/>
        <w:jc w:val="both"/>
        <w:textAlignment w:val="auto"/>
        <w:rPr>
          <w:rFonts w:ascii="仿宋_GB2312" w:cs="Times New Roman"/>
          <w:color w:val="000000"/>
          <w:sz w:val="36"/>
          <w:szCs w:val="36"/>
        </w:rPr>
      </w:pPr>
      <w:r>
        <w:rPr>
          <w:rFonts w:hint="eastAsia" w:ascii="方正小标宋简体" w:hAnsi="黑体" w:eastAsia="方正小标宋简体" w:cs="方正小标宋简体"/>
          <w:b w:val="0"/>
          <w:bCs w:val="0"/>
          <w:color w:val="000000"/>
          <w:sz w:val="44"/>
          <w:szCs w:val="44"/>
          <w:lang w:val="en-US" w:eastAsia="zh-CN"/>
        </w:rPr>
        <w:t>2021</w:t>
      </w:r>
      <w:r>
        <w:rPr>
          <w:rFonts w:hint="eastAsia" w:ascii="方正小标宋简体" w:hAnsi="黑体" w:eastAsia="方正小标宋简体" w:cs="方正小标宋简体"/>
          <w:b w:val="0"/>
          <w:bCs w:val="0"/>
          <w:color w:val="000000"/>
          <w:sz w:val="44"/>
          <w:szCs w:val="44"/>
        </w:rPr>
        <w:t>年</w:t>
      </w:r>
      <w:r>
        <w:rPr>
          <w:rFonts w:hint="eastAsia" w:ascii="方正小标宋简体" w:hAnsi="黑体" w:eastAsia="方正小标宋简体" w:cs="方正小标宋简体"/>
          <w:b w:val="0"/>
          <w:bCs w:val="0"/>
          <w:color w:val="000000"/>
          <w:sz w:val="44"/>
          <w:szCs w:val="44"/>
          <w:lang w:val="en-US" w:eastAsia="zh-CN"/>
        </w:rPr>
        <w:t>度</w:t>
      </w:r>
      <w:r>
        <w:rPr>
          <w:rFonts w:hint="eastAsia" w:ascii="方正小标宋简体" w:hAnsi="黑体" w:eastAsia="方正小标宋简体" w:cs="方正小标宋简体"/>
          <w:b w:val="0"/>
          <w:bCs w:val="0"/>
          <w:color w:val="000000"/>
          <w:sz w:val="44"/>
          <w:szCs w:val="44"/>
        </w:rPr>
        <w:t>信息公告</w:t>
      </w:r>
    </w:p>
    <w:p>
      <w:pPr>
        <w:keepNext w:val="0"/>
        <w:keepLines w:val="0"/>
        <w:pageBreakBefore w:val="0"/>
        <w:widowControl w:val="0"/>
        <w:kinsoku/>
        <w:wordWrap/>
        <w:overflowPunct/>
        <w:topLinePunct w:val="0"/>
        <w:autoSpaceDE w:val="0"/>
        <w:autoSpaceDN w:val="0"/>
        <w:bidi w:val="0"/>
        <w:adjustRightInd w:val="0"/>
        <w:spacing w:line="520" w:lineRule="exact"/>
        <w:jc w:val="center"/>
        <w:textAlignment w:val="auto"/>
        <w:rPr>
          <w:rFonts w:ascii="仿宋_GB2312" w:cs="Times New Roman"/>
          <w:color w:val="000000"/>
        </w:rPr>
      </w:pP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adjustRightInd w:val="0"/>
        <w:snapToGrid w:val="0"/>
        <w:spacing w:line="520" w:lineRule="exact"/>
        <w:ind w:firstLine="480" w:firstLineChars="150"/>
        <w:textAlignment w:val="auto"/>
        <w:rPr>
          <w:rFonts w:ascii="仿宋_GB2312" w:eastAsia="仿宋_GB2312" w:cs="Times New Roman"/>
          <w:sz w:val="32"/>
          <w:szCs w:val="32"/>
        </w:rPr>
      </w:pPr>
      <w:r>
        <w:rPr>
          <w:rFonts w:hint="eastAsia" w:ascii="仿宋_GB2312" w:eastAsia="仿宋_GB2312" w:cs="仿宋_GB2312"/>
          <w:sz w:val="32"/>
          <w:szCs w:val="32"/>
        </w:rPr>
        <w:t>本公司保证本公告内容不存在任何虚假记载、误导性陈述或者重大遗漏，并对其内容的真实性、准确性和完整性承担个别及连带责任。</w:t>
      </w:r>
    </w:p>
    <w:p>
      <w:pPr>
        <w:keepNext w:val="0"/>
        <w:keepLines w:val="0"/>
        <w:pageBreakBefore w:val="0"/>
        <w:widowControl w:val="0"/>
        <w:kinsoku/>
        <w:wordWrap/>
        <w:overflowPunct/>
        <w:topLinePunct w:val="0"/>
        <w:bidi w:val="0"/>
        <w:adjustRightInd w:val="0"/>
        <w:snapToGrid w:val="0"/>
        <w:spacing w:line="520" w:lineRule="exact"/>
        <w:ind w:firstLine="422" w:firstLineChars="200"/>
        <w:textAlignment w:val="auto"/>
        <w:rPr>
          <w:rFonts w:ascii="宋体" w:hAnsi="宋体" w:eastAsia="宋体" w:cs="Times New Roman"/>
          <w:b/>
          <w:bCs/>
          <w:color w:val="00000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Times New Roman"/>
          <w:b w:val="0"/>
          <w:bCs w:val="0"/>
          <w:sz w:val="32"/>
          <w:szCs w:val="32"/>
        </w:rPr>
      </w:pPr>
      <w:r>
        <w:rPr>
          <w:rFonts w:hint="eastAsia" w:ascii="黑体" w:hAnsi="黑体" w:eastAsia="黑体" w:cs="黑体"/>
          <w:b w:val="0"/>
          <w:bCs w:val="0"/>
          <w:sz w:val="32"/>
          <w:szCs w:val="32"/>
        </w:rPr>
        <w:t>一、公司基本情况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1．中文名称：</w:t>
      </w:r>
      <w:r>
        <w:rPr>
          <w:rFonts w:hint="eastAsia" w:ascii="仿宋_GB2312" w:hAnsi="仿宋_GB2312" w:eastAsia="仿宋_GB2312" w:cs="仿宋_GB2312"/>
          <w:b w:val="0"/>
          <w:bCs w:val="0"/>
          <w:sz w:val="32"/>
          <w:szCs w:val="32"/>
          <w:lang w:eastAsia="zh-CN"/>
        </w:rPr>
        <w:t>滕州新奥能源物流港有限公司</w:t>
      </w:r>
      <w:r>
        <w:rPr>
          <w:rFonts w:hint="eastAsia" w:ascii="仿宋_GB2312" w:hAnsi="仿宋_GB2312" w:eastAsia="仿宋_GB2312" w:cs="仿宋_GB2312"/>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简</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称：</w:t>
      </w:r>
      <w:r>
        <w:rPr>
          <w:rFonts w:hint="eastAsia" w:ascii="仿宋_GB2312" w:hAnsi="仿宋_GB2312" w:eastAsia="仿宋_GB2312" w:cs="仿宋_GB2312"/>
          <w:b w:val="0"/>
          <w:bCs w:val="0"/>
          <w:sz w:val="32"/>
          <w:szCs w:val="32"/>
          <w:lang w:eastAsia="zh-CN"/>
        </w:rPr>
        <w:t>滕州港公司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2．外文名称：</w:t>
      </w:r>
      <w:r>
        <w:rPr>
          <w:rFonts w:hint="eastAsia" w:ascii="仿宋_GB2312" w:hAnsi="仿宋_GB2312" w:eastAsia="仿宋_GB2312" w:cs="仿宋_GB2312"/>
          <w:b w:val="0"/>
          <w:bCs w:val="0"/>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3．法定代表人：</w:t>
      </w:r>
      <w:r>
        <w:rPr>
          <w:rFonts w:hint="eastAsia" w:ascii="仿宋_GB2312" w:hAnsi="仿宋_GB2312" w:eastAsia="仿宋_GB2312" w:cs="仿宋_GB2312"/>
          <w:b w:val="0"/>
          <w:bCs w:val="0"/>
          <w:sz w:val="32"/>
          <w:szCs w:val="32"/>
          <w:lang w:eastAsia="zh-CN"/>
        </w:rPr>
        <w:t>田建国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4．注册地址：</w:t>
      </w:r>
      <w:r>
        <w:rPr>
          <w:rFonts w:hint="eastAsia" w:ascii="仿宋_GB2312" w:hAnsi="仿宋_GB2312" w:eastAsia="仿宋_GB2312" w:cs="仿宋_GB2312"/>
          <w:b w:val="0"/>
          <w:bCs w:val="0"/>
          <w:sz w:val="32"/>
          <w:szCs w:val="32"/>
          <w:lang w:eastAsia="zh-CN"/>
        </w:rPr>
        <w:t>山东省枣庄市滕州市滨湖镇后辛安村</w:t>
      </w:r>
      <w:r>
        <w:rPr>
          <w:rFonts w:hint="eastAsia" w:ascii="仿宋_GB2312" w:hAnsi="仿宋_GB2312" w:eastAsia="仿宋_GB2312" w:cs="仿宋_GB2312"/>
          <w:b w:val="0"/>
          <w:bCs w:val="0"/>
          <w:sz w:val="32"/>
          <w:szCs w:val="32"/>
          <w:lang w:val="en-US" w:eastAsia="zh-CN"/>
        </w:rPr>
        <w:t>70米处。</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sz w:val="32"/>
          <w:szCs w:val="32"/>
        </w:rPr>
        <w:t>5．</w:t>
      </w:r>
      <w:r>
        <w:rPr>
          <w:rFonts w:hint="eastAsia" w:ascii="仿宋_GB2312" w:hAnsi="仿宋_GB2312" w:eastAsia="仿宋_GB2312" w:cs="仿宋_GB2312"/>
          <w:b w:val="0"/>
          <w:bCs w:val="0"/>
          <w:kern w:val="2"/>
          <w:sz w:val="32"/>
          <w:szCs w:val="32"/>
          <w:lang w:val="en-US" w:eastAsia="zh-CN" w:bidi="ar-SA"/>
        </w:rPr>
        <w:t>经营范围：许可项目：港口经营；道路货物运输（网络货运）；道路货物运输（不含危险货物）；各类工程建设活动；房地产开发经营；省际普通货船运输、省内船舶运输。（依法须经批准的项目，经相关部门批准后方可开展经营活动，具体经营项目以相关部门批准文件或许可证件为准）一般项目：港口理货；国内货物运输代理；信息咨询服务（不含许可类信息咨询服务）；港口货物装卸搬运活动；普通货物仓储服务（不含危险化学品等需许可审批的项目）；煤炭洗选；煤炭及制品销售；销售代理；机械设备销售；建筑用金属配件销售；建筑材料销售；金属矿石销售；非金属矿及制品销售；金属结构销售；无船承运业务；国内集装箱货物运输代理；国内船舶代理；园林绿化工程施工；非居住房地产租赁；装卸搬运；道路货物运输站经营；食用农产品零售；食用农产品批发；住房租赁；以自有资金从事投资活动。（除依法须经批准的项目外，凭营业执照依法自主开展经营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6．办公地址：</w:t>
      </w:r>
      <w:r>
        <w:rPr>
          <w:rFonts w:hint="eastAsia" w:ascii="仿宋_GB2312" w:hAnsi="仿宋_GB2312" w:eastAsia="仿宋_GB2312" w:cs="仿宋_GB2312"/>
          <w:b w:val="0"/>
          <w:bCs w:val="0"/>
          <w:sz w:val="32"/>
          <w:szCs w:val="32"/>
          <w:lang w:eastAsia="zh-CN"/>
        </w:rPr>
        <w:t>山东省枣庄市滕州市滨湖镇后辛安村</w:t>
      </w:r>
      <w:r>
        <w:rPr>
          <w:rFonts w:hint="eastAsia" w:ascii="仿宋_GB2312" w:hAnsi="仿宋_GB2312" w:eastAsia="仿宋_GB2312" w:cs="仿宋_GB2312"/>
          <w:b w:val="0"/>
          <w:bCs w:val="0"/>
          <w:sz w:val="32"/>
          <w:szCs w:val="32"/>
          <w:lang w:val="en-US" w:eastAsia="zh-CN"/>
        </w:rPr>
        <w:t>70米处。</w:t>
      </w:r>
      <w:r>
        <w:rPr>
          <w:rFonts w:hint="eastAsia" w:ascii="仿宋_GB2312" w:hAnsi="仿宋_GB2312" w:eastAsia="仿宋_GB2312" w:cs="仿宋_GB2312"/>
          <w:b w:val="0"/>
          <w:bCs w:val="0"/>
          <w:sz w:val="32"/>
          <w:szCs w:val="32"/>
        </w:rPr>
        <w:t xml:space="preserve">    邮政编码：</w:t>
      </w:r>
      <w:r>
        <w:rPr>
          <w:rFonts w:hint="eastAsia" w:ascii="仿宋_GB2312" w:hAnsi="仿宋_GB2312" w:eastAsia="仿宋_GB2312" w:cs="仿宋_GB2312"/>
          <w:b w:val="0"/>
          <w:bCs w:val="0"/>
          <w:sz w:val="32"/>
          <w:szCs w:val="32"/>
          <w:lang w:val="en-US" w:eastAsia="zh-CN"/>
        </w:rPr>
        <w:t>277500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7．网址：</w:t>
      </w:r>
      <w:r>
        <w:rPr>
          <w:rFonts w:hint="eastAsia" w:ascii="仿宋_GB2312" w:hAnsi="仿宋_GB2312" w:eastAsia="仿宋_GB2312" w:cs="仿宋_GB2312"/>
          <w:b w:val="0"/>
          <w:bCs w:val="0"/>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8．</w:t>
      </w:r>
      <w:r>
        <w:rPr>
          <w:rFonts w:hint="eastAsia" w:ascii="仿宋_GB2312" w:hAnsi="仿宋_GB2312" w:eastAsia="仿宋_GB2312" w:cs="仿宋_GB2312"/>
          <w:b w:val="0"/>
          <w:bCs w:val="0"/>
          <w:sz w:val="32"/>
          <w:szCs w:val="32"/>
          <w:highlight w:val="none"/>
        </w:rPr>
        <w:t>电子信箱:</w:t>
      </w:r>
      <w:r>
        <w:rPr>
          <w:rFonts w:hint="eastAsia" w:ascii="仿宋_GB2312" w:hAnsi="仿宋_GB2312" w:eastAsia="仿宋_GB2312" w:cs="仿宋_GB2312"/>
          <w:b w:val="0"/>
          <w:bCs w:val="0"/>
          <w:sz w:val="32"/>
          <w:szCs w:val="32"/>
          <w:highlight w:val="none"/>
          <w:lang w:val="en-US" w:eastAsia="zh-CN"/>
        </w:rPr>
        <w:t>tzxany@163.com</w:t>
      </w:r>
      <w:r>
        <w:rPr>
          <w:rFonts w:hint="eastAsia" w:ascii="仿宋_GB2312" w:hAnsi="仿宋_GB2312" w:eastAsia="仿宋_GB2312" w:cs="仿宋_GB2312"/>
          <w:b w:val="0"/>
          <w:bCs w:val="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rPr>
        <w:t>9．公司简介:</w:t>
      </w:r>
      <w:r>
        <w:rPr>
          <w:rFonts w:hint="eastAsia" w:ascii="仿宋_GB2312" w:hAnsi="仿宋_GB2312" w:eastAsia="仿宋_GB2312" w:cs="仿宋_GB2312"/>
          <w:sz w:val="32"/>
          <w:szCs w:val="32"/>
          <w:lang w:val="en-US" w:eastAsia="zh-CN"/>
        </w:rPr>
        <w:t>滕州新奥能源物流港有限公司是由山东水运发展集团有限公司和山东商润投资集团有限公司共同出资组建，注册资本伍仟伍佰万元整，其中山东水运发展集团有限公司持55%的股份、山东商润投资集团有限公司持45%的股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滕州港公司投资建设完成了滕州新港一期项目，该项目于2017年6月30日开工建设，2018年12月30日交工验收，占地面积450亩，总投资2.3亿元人民币，设计年吞吐量508万吨，码头岸线478米，先后建设完成了堆场20余万平方米、皮带机地下廊道1500余米、16吨固定吊机2台、变幅移动式装船机3台、2000吨级装船泊位6个；配套设施有办公楼、候工楼、职工餐厅、环保、安全、计量及给排水设施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期工程该工程设计5个2000吨级泊位，位于滕州老港与滨湖作业区#1~#6通用泊位工程之间，顺岸布置，码头总长421.68m，设计年吞吐能力214万吨，项目投资约1.8亿元。项目立项、土地预审、规划、岸线批复已完成，现土地手续等支持文件正在办理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滕州港老港区位于西辛安村北侧，于2003年4月完工试运营，共建4个泊位，其中2000吨级泊位3个，位于规划码头岸线南侧，顺岸布置，码头总长340m，宽304m，码头前沿顶高程36.6m。公司已于2019年11月完成滕州港老港区租赁工作，并对滕州港老港区进行改造，设备进行升级。新建地下廊道67m,增设B140非标装船机1台，皮带机1条，16吨固定吊一台，工程投资约5800万元（含后期支付30年租金4500万元）。已经于2020年5月25日升级改造完成并进入正式运营阶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二、年度内发生的重大事项及对企业的影响</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25"/>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lang w:val="en-US" w:eastAsia="zh-CN"/>
        </w:rPr>
        <w:t>一</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rPr>
        <w:t>重大决策</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25"/>
        <w:textAlignment w:val="auto"/>
        <w:rPr>
          <w:rFonts w:hint="eastAsia" w:ascii="仿宋_GB2312" w:hAnsi="仿宋_GB2312" w:eastAsia="仿宋_GB2312" w:cs="仿宋_GB2312"/>
          <w:b w:val="0"/>
          <w:bCs w:val="0"/>
          <w:spacing w:val="0"/>
          <w:sz w:val="32"/>
          <w:szCs w:val="32"/>
          <w:lang w:eastAsia="zh-CN"/>
        </w:rPr>
      </w:pPr>
      <w:r>
        <w:rPr>
          <w:rFonts w:hint="eastAsia" w:ascii="仿宋_GB2312" w:hAnsi="仿宋_GB2312" w:eastAsia="仿宋_GB2312" w:cs="仿宋_GB2312"/>
          <w:b w:val="0"/>
          <w:bCs w:val="0"/>
          <w:spacing w:val="0"/>
          <w:sz w:val="32"/>
          <w:szCs w:val="32"/>
          <w:lang w:val="en-US" w:eastAsia="zh-CN"/>
        </w:rPr>
        <w:t>报告期内经股东会审议通过的重大决策有《关于变更公司董事的议案》《关于公司经营范围变更的议案》等12项议案；经公司董事会审议通过的重大决策有《关于免去钟学雨公司董事长职务的议案》《关于选举公司董事长的议案》等35项议案。</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25"/>
        <w:textAlignment w:val="auto"/>
        <w:rPr>
          <w:rFonts w:hint="eastAsia" w:ascii="仿宋_GB2312" w:hAnsi="仿宋_GB2312" w:eastAsia="仿宋_GB2312" w:cs="仿宋_GB2312"/>
          <w:b w:val="0"/>
          <w:bCs w:val="0"/>
          <w:spacing w:val="0"/>
          <w:sz w:val="32"/>
          <w:szCs w:val="32"/>
          <w:lang w:eastAsia="zh-CN"/>
        </w:rPr>
      </w:pPr>
      <w:r>
        <w:rPr>
          <w:rFonts w:hint="eastAsia" w:ascii="仿宋_GB2312" w:hAnsi="仿宋_GB2312" w:eastAsia="仿宋_GB2312" w:cs="仿宋_GB2312"/>
          <w:b w:val="0"/>
          <w:bCs w:val="0"/>
          <w:spacing w:val="0"/>
          <w:sz w:val="32"/>
          <w:szCs w:val="32"/>
          <w:lang w:val="en-US" w:eastAsia="zh-CN"/>
        </w:rPr>
        <w:t>（二）</w:t>
      </w:r>
      <w:r>
        <w:rPr>
          <w:rFonts w:hint="eastAsia" w:ascii="仿宋_GB2312" w:hAnsi="仿宋_GB2312" w:eastAsia="仿宋_GB2312" w:cs="仿宋_GB2312"/>
          <w:b w:val="0"/>
          <w:bCs w:val="0"/>
          <w:spacing w:val="0"/>
          <w:sz w:val="32"/>
          <w:szCs w:val="32"/>
          <w:lang w:eastAsia="zh-CN"/>
        </w:rPr>
        <w:t>重大项目安排</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25"/>
        <w:textAlignment w:val="auto"/>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25"/>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pacing w:val="0"/>
          <w:sz w:val="32"/>
          <w:szCs w:val="32"/>
          <w:lang w:val="en-US" w:eastAsia="zh-CN"/>
        </w:rPr>
        <w:t>（三）重要人事任免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color w:val="000000"/>
          <w:sz w:val="32"/>
          <w:szCs w:val="32"/>
          <w:lang w:val="en-US" w:eastAsia="zh-CN"/>
        </w:rPr>
        <w:t>2021</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日</w:t>
      </w:r>
      <w:r>
        <w:rPr>
          <w:rFonts w:hint="eastAsia" w:ascii="仿宋_GB2312" w:hAnsi="仿宋_GB2312" w:eastAsia="仿宋_GB2312" w:cs="仿宋_GB2312"/>
          <w:sz w:val="32"/>
          <w:szCs w:val="32"/>
        </w:rPr>
        <w:t>滕州新奥能源物流港有限</w:t>
      </w:r>
      <w:r>
        <w:rPr>
          <w:rFonts w:hint="eastAsia" w:ascii="仿宋_GB2312" w:hAnsi="仿宋_GB2312" w:eastAsia="仿宋_GB2312" w:cs="仿宋_GB2312"/>
          <w:color w:val="000000"/>
          <w:sz w:val="32"/>
          <w:szCs w:val="32"/>
        </w:rPr>
        <w:t>公司20</w:t>
      </w:r>
      <w:r>
        <w:rPr>
          <w:rFonts w:hint="eastAsia" w:ascii="仿宋_GB2312" w:hAnsi="仿宋_GB2312" w:eastAsia="仿宋_GB2312" w:cs="仿宋_GB2312"/>
          <w:color w:val="000000"/>
          <w:sz w:val="32"/>
          <w:szCs w:val="32"/>
          <w:lang w:val="en-US" w:eastAsia="zh-CN"/>
        </w:rPr>
        <w:t>21</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eastAsia="zh-CN"/>
        </w:rPr>
        <w:t>第一次临时</w:t>
      </w:r>
      <w:r>
        <w:rPr>
          <w:rFonts w:hint="eastAsia" w:ascii="仿宋_GB2312" w:hAnsi="仿宋_GB2312" w:eastAsia="仿宋_GB2312" w:cs="仿宋_GB2312"/>
          <w:color w:val="000000"/>
          <w:sz w:val="32"/>
          <w:szCs w:val="32"/>
        </w:rPr>
        <w:t>股东会</w:t>
      </w:r>
      <w:r>
        <w:rPr>
          <w:rFonts w:hint="eastAsia" w:ascii="仿宋_GB2312" w:hAnsi="仿宋_GB2312" w:eastAsia="仿宋_GB2312" w:cs="仿宋_GB2312"/>
          <w:color w:val="000000"/>
          <w:sz w:val="32"/>
          <w:szCs w:val="32"/>
          <w:lang w:val="en-US" w:eastAsia="zh-CN"/>
        </w:rPr>
        <w:t>决议</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lang w:val="en-US" w:eastAsia="zh-CN"/>
        </w:rPr>
        <w:t>同意变更</w:t>
      </w:r>
      <w:r>
        <w:rPr>
          <w:rFonts w:hint="eastAsia" w:ascii="仿宋_GB2312" w:hAnsi="仿宋_GB2312" w:eastAsia="仿宋_GB2312" w:cs="仿宋_GB2312"/>
          <w:sz w:val="32"/>
          <w:szCs w:val="32"/>
          <w:lang w:eastAsia="zh-CN"/>
        </w:rPr>
        <w:t>常福锦</w:t>
      </w:r>
      <w:r>
        <w:rPr>
          <w:rFonts w:hint="eastAsia" w:ascii="仿宋_GB2312" w:hAnsi="仿宋_GB2312" w:eastAsia="仿宋_GB2312" w:cs="仿宋_GB2312"/>
          <w:sz w:val="32"/>
          <w:szCs w:val="32"/>
        </w:rPr>
        <w:t>为滕州新奥能源物流港有限公司董事人选</w:t>
      </w:r>
      <w:r>
        <w:rPr>
          <w:rFonts w:hint="eastAsia" w:ascii="仿宋_GB2312" w:hAnsi="仿宋_GB2312" w:eastAsia="仿宋_GB2312" w:cs="仿宋_GB2312"/>
          <w:sz w:val="32"/>
          <w:szCs w:val="32"/>
          <w:lang w:eastAsia="zh-CN"/>
        </w:rPr>
        <w:t>，钟学雨</w:t>
      </w:r>
      <w:r>
        <w:rPr>
          <w:rFonts w:hint="eastAsia" w:ascii="仿宋_GB2312" w:hAnsi="仿宋_GB2312" w:eastAsia="仿宋_GB2312" w:cs="仿宋_GB2312"/>
          <w:sz w:val="32"/>
          <w:szCs w:val="32"/>
        </w:rPr>
        <w:t>不再担任滕州新奥能源物流港有限公司董事职务</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根据2021年1月15日滕州新奥能源物流港有限公司第二届董事会第三次会议决议，同意免去钟学雨公司董事长职务；同意选举田建国董事为公司第二届董事会董事长。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color w:val="auto"/>
          <w:sz w:val="32"/>
          <w:szCs w:val="32"/>
          <w:lang w:val="en-US" w:eastAsia="zh-CN"/>
        </w:rPr>
        <w:t>根据2021</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29</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eastAsia="zh-CN"/>
        </w:rPr>
        <w:t>滕州新奥能源物流港有限公司</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届董事会第</w:t>
      </w:r>
      <w:r>
        <w:rPr>
          <w:rFonts w:hint="eastAsia" w:ascii="仿宋_GB2312" w:hAnsi="仿宋_GB2312" w:eastAsia="仿宋_GB2312" w:cs="仿宋_GB2312"/>
          <w:color w:val="auto"/>
          <w:sz w:val="32"/>
          <w:szCs w:val="32"/>
          <w:lang w:eastAsia="zh-CN"/>
        </w:rPr>
        <w:t>十</w:t>
      </w:r>
      <w:r>
        <w:rPr>
          <w:rFonts w:hint="eastAsia" w:ascii="仿宋_GB2312" w:hAnsi="仿宋_GB2312" w:eastAsia="仿宋_GB2312" w:cs="仿宋_GB2312"/>
          <w:color w:val="auto"/>
          <w:sz w:val="32"/>
          <w:szCs w:val="32"/>
        </w:rPr>
        <w:t>次会议</w:t>
      </w:r>
      <w:r>
        <w:rPr>
          <w:rFonts w:hint="eastAsia" w:ascii="仿宋_GB2312" w:hAnsi="仿宋_GB2312" w:eastAsia="仿宋_GB2312" w:cs="仿宋_GB2312"/>
          <w:color w:val="auto"/>
          <w:sz w:val="32"/>
          <w:szCs w:val="32"/>
          <w:lang w:val="en-US" w:eastAsia="zh-CN"/>
        </w:rPr>
        <w:t>决议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lang w:eastAsia="zh-CN"/>
        </w:rPr>
        <w:t>同意解聘王强同志滕州新奥能源物流港有限公司总经理职务</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color w:val="auto"/>
          <w:sz w:val="32"/>
          <w:szCs w:val="32"/>
          <w:lang w:val="en-US" w:eastAsia="zh-CN"/>
        </w:rPr>
        <w:t>根据2021</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eastAsia="zh-CN"/>
        </w:rPr>
        <w:t>滕州新奥能源物流港有限公司</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届董事会第</w:t>
      </w:r>
      <w:r>
        <w:rPr>
          <w:rFonts w:hint="eastAsia" w:ascii="仿宋_GB2312" w:hAnsi="仿宋_GB2312" w:eastAsia="仿宋_GB2312" w:cs="仿宋_GB2312"/>
          <w:color w:val="auto"/>
          <w:sz w:val="32"/>
          <w:szCs w:val="32"/>
          <w:lang w:eastAsia="zh-CN"/>
        </w:rPr>
        <w:t>十三</w:t>
      </w:r>
      <w:r>
        <w:rPr>
          <w:rFonts w:hint="eastAsia" w:ascii="仿宋_GB2312" w:hAnsi="仿宋_GB2312" w:eastAsia="仿宋_GB2312" w:cs="仿宋_GB2312"/>
          <w:color w:val="auto"/>
          <w:sz w:val="32"/>
          <w:szCs w:val="32"/>
        </w:rPr>
        <w:t>次会议</w:t>
      </w:r>
      <w:r>
        <w:rPr>
          <w:rFonts w:hint="eastAsia" w:ascii="仿宋_GB2312" w:hAnsi="仿宋_GB2312" w:eastAsia="仿宋_GB2312" w:cs="仿宋_GB2312"/>
          <w:color w:val="auto"/>
          <w:sz w:val="32"/>
          <w:szCs w:val="32"/>
          <w:lang w:val="en-US" w:eastAsia="zh-CN"/>
        </w:rPr>
        <w:t>决议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lang w:eastAsia="zh-CN"/>
        </w:rPr>
        <w:t>同意解聘吕棋同志</w:t>
      </w:r>
      <w:r>
        <w:rPr>
          <w:rFonts w:hint="eastAsia" w:ascii="仿宋_GB2312" w:hAnsi="仿宋_GB2312" w:eastAsia="仿宋_GB2312" w:cs="仿宋_GB2312"/>
          <w:color w:val="auto"/>
          <w:kern w:val="0"/>
          <w:sz w:val="32"/>
          <w:szCs w:val="32"/>
          <w:lang w:val="en-US" w:eastAsia="zh-CN"/>
        </w:rPr>
        <w:t>滕州新奥能源物流港有限公司副总经理职务；</w:t>
      </w:r>
      <w:r>
        <w:rPr>
          <w:rFonts w:hint="eastAsia" w:ascii="仿宋_GB2312" w:hAnsi="仿宋_GB2312" w:eastAsia="仿宋_GB2312" w:cs="仿宋_GB2312"/>
          <w:b w:val="0"/>
          <w:bCs/>
          <w:color w:val="auto"/>
          <w:kern w:val="2"/>
          <w:sz w:val="32"/>
          <w:szCs w:val="32"/>
          <w:lang w:val="en-US" w:eastAsia="zh-CN" w:bidi="ar-SA"/>
        </w:rPr>
        <w:t>同意聘任张舒同志滕州新奥能源物流港有限公司财务总监职务。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720" w:firstLineChars="225"/>
        <w:textAlignment w:val="auto"/>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大额资金使用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hAnsi="宋体" w:eastAsia="仿宋_GB2312" w:cstheme="minorBidi"/>
          <w:b w:val="0"/>
          <w:bCs/>
          <w:kern w:val="2"/>
          <w:sz w:val="32"/>
          <w:szCs w:val="32"/>
          <w:lang w:val="en-US" w:eastAsia="zh-CN" w:bidi="ar-SA"/>
        </w:rPr>
        <w:t>报告期内，公司大额资金使用按照《</w:t>
      </w:r>
      <w:r>
        <w:rPr>
          <w:rFonts w:hint="default" w:ascii="仿宋_GB2312" w:hAnsi="仿宋_GB2312" w:eastAsia="仿宋_GB2312" w:cs="仿宋_GB2312"/>
          <w:b w:val="0"/>
          <w:bCs w:val="0"/>
          <w:spacing w:val="0"/>
          <w:sz w:val="32"/>
          <w:szCs w:val="32"/>
          <w:highlight w:val="none"/>
          <w:lang w:val="en-US" w:eastAsia="zh-CN"/>
        </w:rPr>
        <w:t>滕州新奥能源物流港有限</w:t>
      </w:r>
      <w:r>
        <w:rPr>
          <w:rFonts w:hint="eastAsia" w:ascii="仿宋_GB2312" w:hAnsi="宋体" w:eastAsia="仿宋_GB2312" w:cstheme="minorBidi"/>
          <w:b w:val="0"/>
          <w:bCs/>
          <w:kern w:val="2"/>
          <w:sz w:val="32"/>
          <w:szCs w:val="32"/>
          <w:lang w:val="en-US" w:eastAsia="zh-CN" w:bidi="ar-SA"/>
        </w:rPr>
        <w:t>公司2021年度预算》执行。</w:t>
      </w:r>
    </w:p>
    <w:p>
      <w:pPr>
        <w:keepNext w:val="0"/>
        <w:keepLines w:val="0"/>
        <w:pageBreakBefore w:val="0"/>
        <w:widowControl w:val="0"/>
        <w:kinsoku/>
        <w:wordWrap/>
        <w:overflowPunct/>
        <w:topLinePunct w:val="0"/>
        <w:bidi w:val="0"/>
        <w:adjustRightInd w:val="0"/>
        <w:snapToGrid w:val="0"/>
        <w:spacing w:line="520" w:lineRule="exact"/>
        <w:ind w:firstLine="640" w:firstLineChars="200"/>
        <w:jc w:val="right"/>
        <w:textAlignment w:val="auto"/>
        <w:rPr>
          <w:rFonts w:hint="eastAsia" w:ascii="仿宋_GB2312" w:eastAsia="仿宋_GB2312" w:cs="仿宋_GB2312"/>
          <w:sz w:val="32"/>
          <w:szCs w:val="32"/>
          <w:lang w:val="en-US" w:eastAsia="zh-CN"/>
        </w:rPr>
      </w:pPr>
    </w:p>
    <w:p>
      <w:pPr>
        <w:pStyle w:val="2"/>
        <w:rPr>
          <w:rFonts w:hint="eastAsia"/>
          <w:lang w:val="en-US" w:eastAsia="zh-CN"/>
        </w:rPr>
      </w:pPr>
    </w:p>
    <w:p>
      <w:pPr>
        <w:keepNext w:val="0"/>
        <w:keepLines w:val="0"/>
        <w:pageBreakBefore w:val="0"/>
        <w:widowControl w:val="0"/>
        <w:kinsoku/>
        <w:wordWrap/>
        <w:overflowPunct/>
        <w:topLinePunct w:val="0"/>
        <w:bidi w:val="0"/>
        <w:adjustRightInd w:val="0"/>
        <w:snapToGrid w:val="0"/>
        <w:spacing w:line="520" w:lineRule="exact"/>
        <w:ind w:firstLine="640" w:firstLineChars="200"/>
        <w:jc w:val="right"/>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滕州新奥能源物流港有限公司</w:t>
      </w:r>
    </w:p>
    <w:p>
      <w:pPr>
        <w:keepNext w:val="0"/>
        <w:keepLines w:val="0"/>
        <w:pageBreakBefore w:val="0"/>
        <w:widowControl w:val="0"/>
        <w:kinsoku/>
        <w:wordWrap/>
        <w:overflowPunct/>
        <w:topLinePunct w:val="0"/>
        <w:bidi w:val="0"/>
        <w:adjustRightInd w:val="0"/>
        <w:snapToGrid w:val="0"/>
        <w:spacing w:line="520" w:lineRule="exact"/>
        <w:ind w:firstLine="640" w:firstLineChars="200"/>
        <w:jc w:val="center"/>
        <w:textAlignment w:val="auto"/>
        <w:rPr>
          <w:rFonts w:hint="default" w:ascii="仿宋_GB2312" w:eastAsia="仿宋_GB2312"/>
          <w:sz w:val="32"/>
          <w:szCs w:val="32"/>
          <w:lang w:val="en-US" w:eastAsia="zh-CN"/>
        </w:rPr>
      </w:pPr>
      <w:r>
        <w:rPr>
          <w:rFonts w:hint="eastAsia" w:ascii="仿宋_GB2312" w:eastAsia="仿宋_GB2312" w:cs="仿宋_GB2312"/>
          <w:sz w:val="32"/>
          <w:szCs w:val="32"/>
          <w:lang w:val="en-US" w:eastAsia="zh-CN"/>
        </w:rPr>
        <w:t xml:space="preserve">                   </w:t>
      </w:r>
      <w:r>
        <w:rPr>
          <w:rFonts w:hint="eastAsia" w:ascii="仿宋_GB2312" w:eastAsia="仿宋_GB2312" w:cs="仿宋_GB2312"/>
          <w:spacing w:val="0"/>
          <w:sz w:val="32"/>
          <w:szCs w:val="32"/>
          <w:lang w:val="en-US" w:eastAsia="zh-CN"/>
        </w:rPr>
        <w:t xml:space="preserve"> 2022</w:t>
      </w:r>
      <w:r>
        <w:rPr>
          <w:rFonts w:hint="eastAsia" w:ascii="仿宋_GB2312" w:eastAsia="仿宋_GB2312" w:cs="仿宋_GB2312"/>
          <w:spacing w:val="0"/>
          <w:sz w:val="32"/>
          <w:szCs w:val="32"/>
        </w:rPr>
        <w:t>年</w:t>
      </w:r>
      <w:r>
        <w:rPr>
          <w:rFonts w:hint="eastAsia" w:ascii="仿宋_GB2312" w:eastAsia="仿宋_GB2312" w:cs="仿宋_GB2312"/>
          <w:spacing w:val="0"/>
          <w:sz w:val="32"/>
          <w:szCs w:val="32"/>
          <w:lang w:val="en-US" w:eastAsia="zh-CN"/>
        </w:rPr>
        <w:t xml:space="preserve"> 4月 20</w:t>
      </w:r>
      <w:r>
        <w:rPr>
          <w:rFonts w:hint="eastAsia" w:ascii="仿宋_GB2312" w:eastAsia="仿宋_GB2312" w:cs="仿宋_GB2312"/>
          <w:spacing w:val="0"/>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40"/>
          <w:lang w:val="en-US" w:eastAsia="zh-CN"/>
        </w:rPr>
      </w:pPr>
      <w:r>
        <w:rPr>
          <w:rFonts w:hint="eastAsia" w:ascii="仿宋_GB2312" w:eastAsia="仿宋_GB2312"/>
          <w:sz w:val="32"/>
          <w:szCs w:val="32"/>
          <w:lang w:val="en-US" w:eastAsia="zh-CN"/>
        </w:rPr>
        <w:t xml:space="preserve">    </w:t>
      </w:r>
    </w:p>
    <w:p>
      <w:pPr>
        <w:keepNext w:val="0"/>
        <w:keepLines w:val="0"/>
        <w:pageBreakBefore w:val="0"/>
        <w:widowControl w:val="0"/>
        <w:numPr>
          <w:ilvl w:val="0"/>
          <w:numId w:val="0"/>
        </w:numPr>
        <w:kinsoku/>
        <w:overflowPunct/>
        <w:topLinePunct w:val="0"/>
        <w:bidi w:val="0"/>
        <w:spacing w:line="600" w:lineRule="exact"/>
        <w:jc w:val="both"/>
        <w:textAlignment w:val="auto"/>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C5EF1"/>
    <w:multiLevelType w:val="singleLevel"/>
    <w:tmpl w:val="2EFC5EF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130BA4"/>
    <w:rsid w:val="01CA72C2"/>
    <w:rsid w:val="02FE4E8D"/>
    <w:rsid w:val="06DA075B"/>
    <w:rsid w:val="06EF2A3A"/>
    <w:rsid w:val="09585F15"/>
    <w:rsid w:val="0BF6185F"/>
    <w:rsid w:val="0E3463B4"/>
    <w:rsid w:val="107122B2"/>
    <w:rsid w:val="13241F6F"/>
    <w:rsid w:val="13FB7F63"/>
    <w:rsid w:val="150A3189"/>
    <w:rsid w:val="174862E7"/>
    <w:rsid w:val="18EB35D5"/>
    <w:rsid w:val="19E26000"/>
    <w:rsid w:val="1A2D6557"/>
    <w:rsid w:val="1B9A6B77"/>
    <w:rsid w:val="1BA50C8F"/>
    <w:rsid w:val="235F7240"/>
    <w:rsid w:val="23E755CB"/>
    <w:rsid w:val="25C40EB7"/>
    <w:rsid w:val="289D63F5"/>
    <w:rsid w:val="2963443F"/>
    <w:rsid w:val="2AA66C21"/>
    <w:rsid w:val="2C3233E9"/>
    <w:rsid w:val="320C7759"/>
    <w:rsid w:val="344572AC"/>
    <w:rsid w:val="34B216F8"/>
    <w:rsid w:val="39CD0FE3"/>
    <w:rsid w:val="39D91422"/>
    <w:rsid w:val="3BD633F4"/>
    <w:rsid w:val="3C3C2D43"/>
    <w:rsid w:val="3D33580E"/>
    <w:rsid w:val="3D91504D"/>
    <w:rsid w:val="3F77478D"/>
    <w:rsid w:val="3F844153"/>
    <w:rsid w:val="4370620F"/>
    <w:rsid w:val="45B274EE"/>
    <w:rsid w:val="4B5954F5"/>
    <w:rsid w:val="4CCB6250"/>
    <w:rsid w:val="4CEB3016"/>
    <w:rsid w:val="4D5E05C1"/>
    <w:rsid w:val="4E5D6214"/>
    <w:rsid w:val="50045924"/>
    <w:rsid w:val="50973B3B"/>
    <w:rsid w:val="55F45B90"/>
    <w:rsid w:val="568B26EC"/>
    <w:rsid w:val="569C1014"/>
    <w:rsid w:val="5B7F07FE"/>
    <w:rsid w:val="5CD46C7E"/>
    <w:rsid w:val="5E087045"/>
    <w:rsid w:val="62F2065E"/>
    <w:rsid w:val="65E33829"/>
    <w:rsid w:val="674F66AA"/>
    <w:rsid w:val="67AF1A07"/>
    <w:rsid w:val="68572ABA"/>
    <w:rsid w:val="6E0F37D1"/>
    <w:rsid w:val="6E9B1F95"/>
    <w:rsid w:val="700B7E26"/>
    <w:rsid w:val="792E62C1"/>
    <w:rsid w:val="7C130BA4"/>
    <w:rsid w:val="7D3C4AEA"/>
    <w:rsid w:val="7FCD2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line="240" w:lineRule="auto"/>
      <w:ind w:left="420" w:leftChars="200" w:firstLine="420"/>
    </w:pPr>
  </w:style>
  <w:style w:type="paragraph" w:styleId="3">
    <w:name w:val="Body Text Indent"/>
    <w:basedOn w:val="1"/>
    <w:qFormat/>
    <w:uiPriority w:val="0"/>
    <w:pPr>
      <w:spacing w:line="640" w:lineRule="atLeast"/>
      <w:ind w:firstLine="567"/>
    </w:pPr>
    <w:rPr>
      <w:rFonts w:ascii="宋体" w:hAnsi="宋体"/>
      <w:b/>
      <w:sz w:val="28"/>
    </w:rPr>
  </w:style>
  <w:style w:type="paragraph" w:styleId="4">
    <w:name w:val="toa heading"/>
    <w:basedOn w:val="1"/>
    <w:next w:val="1"/>
    <w:qFormat/>
    <w:uiPriority w:val="0"/>
    <w:pPr>
      <w:spacing w:before="120"/>
    </w:pPr>
    <w:rPr>
      <w:rFonts w:ascii="Arial" w:hAnsi="Arial"/>
      <w:sz w:val="24"/>
      <w:szCs w:val="20"/>
    </w:rPr>
  </w:style>
  <w:style w:type="paragraph" w:styleId="5">
    <w:name w:val="Normal (Web)"/>
    <w:basedOn w:val="1"/>
    <w:unhideWhenUsed/>
    <w:qFormat/>
    <w:uiPriority w:val="0"/>
    <w:pPr>
      <w:spacing w:beforeAutospacing="1" w:afterAutospacing="1"/>
      <w:jc w:val="left"/>
    </w:pPr>
    <w:rPr>
      <w:kern w:val="0"/>
      <w:sz w:val="24"/>
    </w:rPr>
  </w:style>
  <w:style w:type="paragraph" w:styleId="6">
    <w:name w:val="Title"/>
    <w:basedOn w:val="1"/>
    <w:next w:val="1"/>
    <w:qFormat/>
    <w:uiPriority w:val="99"/>
    <w:pPr>
      <w:spacing w:before="240" w:after="60"/>
      <w:jc w:val="center"/>
      <w:outlineLvl w:val="0"/>
    </w:pPr>
    <w:rPr>
      <w:rFonts w:ascii="Cambria" w:hAnsi="Cambria" w:eastAsia="宋体" w:cs="Cambria"/>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2208</Words>
  <Characters>2426</Characters>
  <Lines>0</Lines>
  <Paragraphs>0</Paragraphs>
  <TotalTime>27</TotalTime>
  <ScaleCrop>false</ScaleCrop>
  <LinksUpToDate>false</LinksUpToDate>
  <CharactersWithSpaces>2477</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2021-06-10T11:21:00Z</dcterms:created>
  <dc:creator>summer</dc:creator>
  <cp:lastModifiedBy>张翮</cp:lastModifiedBy>
  <cp:lastPrinted>2021-06-23T03:54:00Z</cp:lastPrinted>
  <dcterms:modified xsi:type="dcterms:W3CDTF">2022-04-20T01:11:32Z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AE4F8804B38E45BDB5B8011C203689C5</vt:lpwstr>
  </property>
</Properties>
</file>