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bidi w:val="0"/>
        <w:adjustRightInd/>
        <w:snapToGrid/>
        <w:spacing w:before="0" w:after="0" w:line="420" w:lineRule="exact"/>
        <w:ind w:firstLine="1320" w:firstLineChars="300"/>
        <w:jc w:val="both"/>
        <w:textAlignment w:val="auto"/>
        <w:outlineLvl w:val="9"/>
        <w:rPr>
          <w:rFonts w:hint="eastAsia" w:ascii="方正小标宋简体" w:hAnsi="黑体" w:eastAsia="方正小标宋简体" w:cs="方正小标宋简体"/>
          <w:b w:val="0"/>
          <w:bCs w:val="0"/>
          <w:color w:val="000000"/>
          <w:sz w:val="44"/>
          <w:szCs w:val="44"/>
          <w:lang w:val="en-US" w:eastAsia="zh-CN"/>
        </w:rPr>
      </w:pPr>
    </w:p>
    <w:p>
      <w:pPr>
        <w:pStyle w:val="5"/>
        <w:keepNext w:val="0"/>
        <w:keepLines w:val="0"/>
        <w:pageBreakBefore w:val="0"/>
        <w:widowControl w:val="0"/>
        <w:kinsoku/>
        <w:wordWrap/>
        <w:overflowPunct/>
        <w:topLinePunct w:val="0"/>
        <w:bidi w:val="0"/>
        <w:adjustRightInd/>
        <w:snapToGrid/>
        <w:spacing w:before="0" w:after="0" w:line="420" w:lineRule="exact"/>
        <w:ind w:firstLine="1320" w:firstLineChars="300"/>
        <w:jc w:val="both"/>
        <w:textAlignment w:val="auto"/>
        <w:outlineLvl w:val="9"/>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5"/>
        <w:keepNext w:val="0"/>
        <w:keepLines w:val="0"/>
        <w:pageBreakBefore w:val="0"/>
        <w:widowControl w:val="0"/>
        <w:kinsoku/>
        <w:wordWrap/>
        <w:overflowPunct/>
        <w:topLinePunct w:val="0"/>
        <w:bidi w:val="0"/>
        <w:adjustRightInd/>
        <w:snapToGrid/>
        <w:spacing w:before="0" w:after="0" w:line="420" w:lineRule="exact"/>
        <w:ind w:firstLine="2200" w:firstLineChars="500"/>
        <w:jc w:val="both"/>
        <w:textAlignment w:val="auto"/>
        <w:outlineLvl w:val="9"/>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snapToGrid/>
        <w:spacing w:line="420" w:lineRule="exact"/>
        <w:jc w:val="both"/>
        <w:textAlignment w:val="auto"/>
        <w:outlineLvl w:val="9"/>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20" w:lineRule="exact"/>
        <w:ind w:firstLine="480" w:firstLineChars="150"/>
        <w:jc w:val="both"/>
        <w:textAlignment w:val="auto"/>
        <w:outlineLvl w:val="9"/>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snapToGrid/>
        <w:spacing w:line="420" w:lineRule="exact"/>
        <w:ind w:firstLine="422" w:firstLineChars="200"/>
        <w:jc w:val="both"/>
        <w:textAlignment w:val="auto"/>
        <w:outlineLvl w:val="9"/>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滕州新奥能源物流港有限公司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滕州港公司</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eastAsia="zh-CN"/>
        </w:rPr>
        <w:t>田建国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2"/>
          <w:sz w:val="32"/>
          <w:szCs w:val="32"/>
          <w:lang w:val="en-US" w:eastAsia="zh-CN" w:bidi="ar-SA"/>
        </w:rPr>
        <w:t>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277500</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tzxany@163.com</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9．公司简介:</w:t>
      </w:r>
      <w:r>
        <w:rPr>
          <w:rFonts w:hint="eastAsia" w:ascii="仿宋_GB2312" w:hAnsi="仿宋_GB2312" w:eastAsia="仿宋_GB2312" w:cs="仿宋_GB2312"/>
          <w:sz w:val="32"/>
          <w:szCs w:val="32"/>
          <w:lang w:val="en-US" w:eastAsia="zh-CN"/>
        </w:rPr>
        <w:t>滕州新奥能源物流港有限公司于2017年1月5日，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二、报告期</w:t>
      </w:r>
      <w:bookmarkStart w:id="1" w:name="_GoBack"/>
      <w:bookmarkEnd w:id="1"/>
      <w:r>
        <w:rPr>
          <w:rFonts w:hint="eastAsia" w:ascii="黑体" w:hAnsi="黑体" w:eastAsia="黑体" w:cs="黑体"/>
          <w:b w:val="0"/>
          <w:bCs w:val="0"/>
          <w:spacing w:val="0"/>
          <w:sz w:val="32"/>
          <w:szCs w:val="32"/>
          <w:lang w:val="en-US" w:eastAsia="zh-CN"/>
        </w:rPr>
        <w:t>内发生的重大事项及对企业的影响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（一）重大决策</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报告期内经公司董事会审议通过的重大决策有《关于授权经营层审议、制订公司员工绩效工资、补助分配等事宜的议案》《关于审议公司&lt;</w:t>
      </w:r>
      <w:bookmarkStart w:id="0" w:name="_Toc29235"/>
      <w:r>
        <w:rPr>
          <w:rFonts w:hint="eastAsia" w:ascii="仿宋_GB2312" w:hAnsi="仿宋_GB2312" w:eastAsia="仿宋_GB2312" w:cs="仿宋_GB2312"/>
          <w:b w:val="0"/>
          <w:bCs w:val="0"/>
          <w:spacing w:val="0"/>
          <w:sz w:val="32"/>
          <w:szCs w:val="32"/>
          <w:highlight w:val="none"/>
          <w:lang w:val="en-US" w:eastAsia="zh-CN"/>
        </w:rPr>
        <w:t>资产管理办法</w:t>
      </w:r>
      <w:bookmarkEnd w:id="0"/>
      <w:r>
        <w:rPr>
          <w:rFonts w:hint="eastAsia" w:ascii="仿宋_GB2312" w:hAnsi="仿宋_GB2312" w:eastAsia="仿宋_GB2312" w:cs="仿宋_GB2312"/>
          <w:b w:val="0"/>
          <w:bCs w:val="0"/>
          <w:spacing w:val="0"/>
          <w:sz w:val="32"/>
          <w:szCs w:val="32"/>
          <w:highlight w:val="none"/>
          <w:lang w:val="en-US" w:eastAsia="zh-CN"/>
        </w:rPr>
        <w:t>&gt;&lt;收费管理办法&gt;等14项制度的议案》</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b w:val="0"/>
          <w:bCs w:val="0"/>
          <w:spacing w:val="0"/>
          <w:sz w:val="32"/>
          <w:szCs w:val="32"/>
          <w:highlight w:val="none"/>
          <w:lang w:val="en-US" w:eastAsia="zh-CN"/>
        </w:rPr>
        <w:t>29项议案。</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 xml:space="preserve"> 2022年1月4日召开第二届董事会第十四次会议（临时）审议通过《关于聘任周文为公司总经理的议案》，同意聘任周文为公司总经理；审议通过《关于聘任谢志为公司副总经理的议案》，同意聘任谢志为公司副总经理；审议通过《关于聘任孙成为公司副总经理的议案》，同意聘任孙成为公司副总经理；审议通过《关于聘任李茂峰为公司财务总监的议案》，同意聘任李茂峰为公司财务总监。</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大额资金使用</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640" w:firstLineChars="200"/>
        <w:jc w:val="both"/>
        <w:textAlignment w:val="auto"/>
        <w:outlineLvl w:val="9"/>
        <w:rPr>
          <w:rFonts w:hint="default"/>
          <w:lang w:val="en-US" w:eastAsia="zh-CN"/>
        </w:rPr>
      </w:pPr>
      <w:r>
        <w:rPr>
          <w:rFonts w:hint="eastAsia" w:ascii="仿宋_GB2312" w:hAnsi="仿宋_GB2312" w:eastAsia="仿宋_GB2312" w:cs="仿宋_GB2312"/>
          <w:b w:val="0"/>
          <w:bCs w:val="0"/>
          <w:spacing w:val="0"/>
          <w:kern w:val="2"/>
          <w:sz w:val="32"/>
          <w:szCs w:val="32"/>
          <w:highlight w:val="none"/>
          <w:lang w:val="en-US" w:eastAsia="zh-CN" w:bidi="ar-SA"/>
        </w:rPr>
        <w:t>报告期内，公司大额资金使用按照公司2022年度预算执行。</w:t>
      </w:r>
    </w:p>
    <w:p>
      <w:pPr>
        <w:pStyle w:val="6"/>
        <w:keepNext w:val="0"/>
        <w:keepLines w:val="0"/>
        <w:pageBreakBefore w:val="0"/>
        <w:widowControl w:val="0"/>
        <w:kinsoku/>
        <w:wordWrap/>
        <w:overflowPunct/>
        <w:topLinePunct w:val="0"/>
        <w:bidi w:val="0"/>
        <w:adjustRightInd/>
        <w:snapToGrid/>
        <w:spacing w:after="0" w:line="420" w:lineRule="exact"/>
        <w:ind w:left="0" w:leftChars="0" w:firstLine="0" w:firstLineChars="0"/>
        <w:jc w:val="both"/>
        <w:textAlignment w:val="auto"/>
        <w:outlineLvl w:val="9"/>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bidi w:val="0"/>
        <w:adjustRightInd/>
        <w:snapToGrid/>
        <w:spacing w:line="420" w:lineRule="exact"/>
        <w:ind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滕州新奥能源物流港有限公司</w:t>
      </w:r>
    </w:p>
    <w:p>
      <w:pPr>
        <w:keepNext w:val="0"/>
        <w:keepLines w:val="0"/>
        <w:pageBreakBefore w:val="0"/>
        <w:widowControl w:val="0"/>
        <w:kinsoku/>
        <w:wordWrap/>
        <w:overflowPunct/>
        <w:topLinePunct w:val="0"/>
        <w:bidi w:val="0"/>
        <w:adjustRightInd/>
        <w:snapToGrid/>
        <w:spacing w:line="420" w:lineRule="exact"/>
        <w:ind w:firstLine="640" w:firstLineChars="200"/>
        <w:jc w:val="both"/>
        <w:textAlignment w:val="auto"/>
        <w:outlineLvl w:val="9"/>
        <w:rPr>
          <w:rFonts w:hint="default" w:ascii="仿宋_GB2312" w:hAnsi="仿宋_GB2312" w:eastAsia="仿宋_GB2312" w:cs="仿宋_GB2312"/>
          <w:sz w:val="32"/>
          <w:szCs w:val="40"/>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2023</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6月1</w:t>
      </w:r>
      <w:r>
        <w:rPr>
          <w:rFonts w:hint="eastAsia" w:ascii="仿宋_GB2312" w:eastAsia="仿宋_GB2312" w:cs="仿宋_GB2312"/>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5D45D"/>
    <w:multiLevelType w:val="singleLevel"/>
    <w:tmpl w:val="6195D4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Q4MjNkY2E3YWY2ZDhkZjUxMzFiNzE2Mzg4NmEifQ=="/>
  </w:docVars>
  <w:rsids>
    <w:rsidRoot w:val="7C130BA4"/>
    <w:rsid w:val="012B30EC"/>
    <w:rsid w:val="01CA72C2"/>
    <w:rsid w:val="02FE4E8D"/>
    <w:rsid w:val="03A03730"/>
    <w:rsid w:val="03CD4B7F"/>
    <w:rsid w:val="058D0DE4"/>
    <w:rsid w:val="05FA5454"/>
    <w:rsid w:val="06DA075B"/>
    <w:rsid w:val="06EF2A3A"/>
    <w:rsid w:val="08F57ACE"/>
    <w:rsid w:val="09585F15"/>
    <w:rsid w:val="0BF6185F"/>
    <w:rsid w:val="0E3463B4"/>
    <w:rsid w:val="0FE443F8"/>
    <w:rsid w:val="13FB7F63"/>
    <w:rsid w:val="15C914FA"/>
    <w:rsid w:val="18CB6541"/>
    <w:rsid w:val="1A2D6557"/>
    <w:rsid w:val="1B9A6B77"/>
    <w:rsid w:val="1BA50C8F"/>
    <w:rsid w:val="1C466850"/>
    <w:rsid w:val="1CCA5FC6"/>
    <w:rsid w:val="20BE29CA"/>
    <w:rsid w:val="235F7240"/>
    <w:rsid w:val="27A208D5"/>
    <w:rsid w:val="290F0D9A"/>
    <w:rsid w:val="2963443F"/>
    <w:rsid w:val="2D26668C"/>
    <w:rsid w:val="308323C9"/>
    <w:rsid w:val="340F4D7C"/>
    <w:rsid w:val="344572AC"/>
    <w:rsid w:val="37993288"/>
    <w:rsid w:val="39CD0FE3"/>
    <w:rsid w:val="39D91422"/>
    <w:rsid w:val="3A3558DD"/>
    <w:rsid w:val="3BD633F4"/>
    <w:rsid w:val="3C3C2D43"/>
    <w:rsid w:val="3D33580E"/>
    <w:rsid w:val="3D91504D"/>
    <w:rsid w:val="3F844153"/>
    <w:rsid w:val="4370620F"/>
    <w:rsid w:val="44AB3406"/>
    <w:rsid w:val="45B274EE"/>
    <w:rsid w:val="462B5EFD"/>
    <w:rsid w:val="467853C8"/>
    <w:rsid w:val="47F872CC"/>
    <w:rsid w:val="4B5954F5"/>
    <w:rsid w:val="50973B3B"/>
    <w:rsid w:val="55F45B90"/>
    <w:rsid w:val="569C1014"/>
    <w:rsid w:val="5AA601F5"/>
    <w:rsid w:val="5B861265"/>
    <w:rsid w:val="5CD46C7E"/>
    <w:rsid w:val="5D513049"/>
    <w:rsid w:val="5E3F526E"/>
    <w:rsid w:val="5F654AC4"/>
    <w:rsid w:val="60D87FF2"/>
    <w:rsid w:val="65E33829"/>
    <w:rsid w:val="67AF1A07"/>
    <w:rsid w:val="6E0F37D1"/>
    <w:rsid w:val="6E9B1F95"/>
    <w:rsid w:val="6F837FAB"/>
    <w:rsid w:val="70F761F2"/>
    <w:rsid w:val="713B7B9C"/>
    <w:rsid w:val="792E62C1"/>
    <w:rsid w:val="7C130BA4"/>
    <w:rsid w:val="7D3C4AEA"/>
    <w:rsid w:val="7EE3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3">
    <w:name w:val="Body Text Indent"/>
    <w:basedOn w:val="1"/>
    <w:qFormat/>
    <w:uiPriority w:val="0"/>
    <w:pPr>
      <w:spacing w:line="640" w:lineRule="atLeast"/>
      <w:ind w:firstLine="567"/>
    </w:pPr>
    <w:rPr>
      <w:rFonts w:ascii="宋体" w:hAnsi="宋体"/>
      <w:b/>
      <w:sz w:val="28"/>
    </w:rPr>
  </w:style>
  <w:style w:type="paragraph" w:styleId="4">
    <w:name w:val="Normal (Web)"/>
    <w:basedOn w:val="1"/>
    <w:unhideWhenUsed/>
    <w:qFormat/>
    <w:uiPriority w:val="0"/>
    <w:pPr>
      <w:spacing w:beforeAutospacing="1" w:afterAutospacing="1"/>
      <w:jc w:val="left"/>
    </w:pPr>
    <w:rPr>
      <w:kern w:val="0"/>
      <w:sz w:val="24"/>
    </w:rPr>
  </w:style>
  <w:style w:type="paragraph" w:styleId="5">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6">
    <w:name w:val="Body Text First Indent 2"/>
    <w:basedOn w:val="3"/>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1143</Words>
  <Characters>1196</Characters>
  <Lines>0</Lines>
  <Paragraphs>0</Paragraphs>
  <TotalTime>36</TotalTime>
  <ScaleCrop>false</ScaleCrop>
  <LinksUpToDate>false</LinksUpToDate>
  <CharactersWithSpaces>1241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督导督查组</cp:lastModifiedBy>
  <cp:lastPrinted>2021-06-23T03:54:00Z</cp:lastPrinted>
  <dcterms:modified xsi:type="dcterms:W3CDTF">2023-06-15T01:30:58Z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70A3565500D74F0FB8CB37BAC551DE5B</vt:lpwstr>
  </property>
</Properties>
</file>