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bidi w:val="0"/>
        <w:spacing w:before="0" w:after="0" w:line="480" w:lineRule="exact"/>
        <w:textAlignment w:val="auto"/>
        <w:rPr>
          <w:rFonts w:hint="eastAsia" w:ascii="方正小标宋简体" w:hAnsi="黑体" w:eastAsia="方正小标宋简体" w:cs="方正小标宋简体"/>
          <w:b w:val="0"/>
          <w:bCs w:val="0"/>
          <w:color w:val="000000"/>
          <w:sz w:val="44"/>
          <w:szCs w:val="44"/>
          <w:lang w:val="en-US" w:eastAsia="zh-CN"/>
        </w:rPr>
      </w:pPr>
    </w:p>
    <w:p>
      <w:pPr>
        <w:pStyle w:val="6"/>
        <w:keepNext w:val="0"/>
        <w:keepLines w:val="0"/>
        <w:pageBreakBefore w:val="0"/>
        <w:widowControl w:val="0"/>
        <w:kinsoku/>
        <w:wordWrap/>
        <w:overflowPunct/>
        <w:topLinePunct w:val="0"/>
        <w:bidi w:val="0"/>
        <w:spacing w:before="0" w:after="0" w:line="480" w:lineRule="exact"/>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山东水运发展</w:t>
      </w:r>
      <w:r>
        <w:rPr>
          <w:rFonts w:hint="eastAsia" w:ascii="方正小标宋简体" w:hAnsi="黑体" w:eastAsia="方正小标宋简体" w:cs="方正小标宋简体"/>
          <w:b w:val="0"/>
          <w:bCs w:val="0"/>
          <w:color w:val="000000"/>
          <w:sz w:val="44"/>
          <w:szCs w:val="44"/>
        </w:rPr>
        <w:t>集团有限公司</w:t>
      </w:r>
    </w:p>
    <w:p>
      <w:pPr>
        <w:pStyle w:val="6"/>
        <w:keepNext w:val="0"/>
        <w:keepLines w:val="0"/>
        <w:pageBreakBefore w:val="0"/>
        <w:widowControl w:val="0"/>
        <w:kinsoku/>
        <w:wordWrap/>
        <w:overflowPunct/>
        <w:topLinePunct w:val="0"/>
        <w:bidi w:val="0"/>
        <w:spacing w:before="0" w:after="0" w:line="480" w:lineRule="exact"/>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2023</w:t>
      </w:r>
      <w:r>
        <w:rPr>
          <w:rFonts w:hint="eastAsia" w:ascii="方正小标宋简体" w:hAnsi="黑体" w:eastAsia="方正小标宋简体" w:cs="方正小标宋简体"/>
          <w:b w:val="0"/>
          <w:bCs w:val="0"/>
          <w:color w:val="000000"/>
          <w:sz w:val="44"/>
          <w:szCs w:val="44"/>
        </w:rPr>
        <w:t>年第</w:t>
      </w:r>
      <w:r>
        <w:rPr>
          <w:rFonts w:hint="eastAsia" w:ascii="方正小标宋简体" w:hAnsi="黑体" w:eastAsia="方正小标宋简体" w:cs="方正小标宋简体"/>
          <w:b w:val="0"/>
          <w:bCs w:val="0"/>
          <w:color w:val="000000"/>
          <w:sz w:val="44"/>
          <w:szCs w:val="44"/>
          <w:lang w:val="en-US" w:eastAsia="zh-CN"/>
        </w:rPr>
        <w:t>三</w:t>
      </w:r>
      <w:r>
        <w:rPr>
          <w:rFonts w:hint="eastAsia" w:ascii="方正小标宋简体" w:hAnsi="黑体" w:eastAsia="方正小标宋简体" w:cs="方正小标宋简体"/>
          <w:b w:val="0"/>
          <w:bCs w:val="0"/>
          <w:color w:val="000000"/>
          <w:sz w:val="44"/>
          <w:szCs w:val="44"/>
        </w:rPr>
        <w:t>季度信息公告</w:t>
      </w:r>
    </w:p>
    <w:p>
      <w:pPr>
        <w:keepNext w:val="0"/>
        <w:keepLines w:val="0"/>
        <w:pageBreakBefore w:val="0"/>
        <w:widowControl w:val="0"/>
        <w:kinsoku/>
        <w:wordWrap/>
        <w:overflowPunct/>
        <w:topLinePunct w:val="0"/>
        <w:autoSpaceDE w:val="0"/>
        <w:autoSpaceDN w:val="0"/>
        <w:bidi w:val="0"/>
        <w:adjustRightInd w:val="0"/>
        <w:spacing w:line="480" w:lineRule="exact"/>
        <w:jc w:val="both"/>
        <w:textAlignment w:val="auto"/>
        <w:rPr>
          <w:rFonts w:ascii="仿宋_GB2312" w:cs="Times New Roman"/>
          <w:color w:val="000000"/>
        </w:rPr>
      </w:pPr>
    </w:p>
    <w:p>
      <w:pPr>
        <w:pStyle w:val="2"/>
      </w:pPr>
      <w:bookmarkStart w:id="0" w:name="_GoBack"/>
      <w:bookmarkEnd w:id="0"/>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480" w:lineRule="exact"/>
        <w:ind w:firstLine="480" w:firstLineChars="150"/>
        <w:textAlignment w:val="auto"/>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rPr>
          <w:rFonts w:ascii="宋体" w:hAnsi="宋体" w:eastAsia="宋体" w:cs="Times New Roman"/>
          <w:b/>
          <w:bCs/>
          <w:color w:val="000000"/>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仿宋_GB2312" w:eastAsia="仿宋_GB2312" w:cs="Times New Roman"/>
          <w:b w:val="0"/>
          <w:bCs w:val="0"/>
          <w:sz w:val="32"/>
          <w:szCs w:val="32"/>
        </w:rPr>
      </w:pPr>
      <w:r>
        <w:rPr>
          <w:rFonts w:hint="eastAsia" w:ascii="黑体" w:hAnsi="黑体" w:eastAsia="黑体" w:cs="黑体"/>
          <w:b w:val="0"/>
          <w:bCs w:val="0"/>
          <w:sz w:val="32"/>
          <w:szCs w:val="32"/>
        </w:rPr>
        <w:t>一、公司基本情况</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1．中文名称：</w:t>
      </w:r>
      <w:r>
        <w:rPr>
          <w:rFonts w:hint="eastAsia" w:ascii="仿宋_GB2312" w:hAnsi="仿宋_GB2312" w:eastAsia="仿宋_GB2312" w:cs="仿宋_GB2312"/>
          <w:b w:val="0"/>
          <w:bCs w:val="0"/>
          <w:sz w:val="32"/>
          <w:szCs w:val="32"/>
          <w:lang w:val="en-US" w:eastAsia="zh-CN"/>
        </w:rPr>
        <w:t>山东水运发展</w:t>
      </w:r>
      <w:r>
        <w:rPr>
          <w:rFonts w:hint="eastAsia" w:ascii="仿宋_GB2312" w:hAnsi="仿宋_GB2312" w:eastAsia="仿宋_GB2312" w:cs="仿宋_GB2312"/>
          <w:b w:val="0"/>
          <w:bCs w:val="0"/>
          <w:sz w:val="32"/>
          <w:szCs w:val="32"/>
        </w:rPr>
        <w:t xml:space="preserve">集团有限公司                </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称：</w:t>
      </w:r>
      <w:r>
        <w:rPr>
          <w:rFonts w:hint="eastAsia" w:ascii="仿宋_GB2312" w:hAnsi="仿宋_GB2312" w:eastAsia="仿宋_GB2312" w:cs="仿宋_GB2312"/>
          <w:b w:val="0"/>
          <w:bCs w:val="0"/>
          <w:sz w:val="32"/>
          <w:szCs w:val="32"/>
          <w:lang w:val="en-US" w:eastAsia="zh-CN"/>
        </w:rPr>
        <w:t>山东水运集团</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2．外文名称：</w:t>
      </w:r>
      <w:r>
        <w:rPr>
          <w:rFonts w:hint="eastAsia" w:ascii="仿宋_GB2312" w:hAnsi="仿宋_GB2312" w:eastAsia="仿宋_GB2312" w:cs="仿宋_GB2312"/>
          <w:b w:val="0"/>
          <w:bCs w:val="0"/>
          <w:sz w:val="32"/>
          <w:szCs w:val="32"/>
          <w:lang w:val="en-US" w:eastAsia="zh-CN"/>
        </w:rPr>
        <w:t>Shandong Water Transport Development Co.,Group Ltd.</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3．法定代表人：</w:t>
      </w:r>
      <w:r>
        <w:rPr>
          <w:rFonts w:hint="eastAsia" w:ascii="仿宋_GB2312" w:hAnsi="仿宋_GB2312" w:eastAsia="仿宋_GB2312" w:cs="仿宋_GB2312"/>
          <w:b w:val="0"/>
          <w:bCs w:val="0"/>
          <w:sz w:val="32"/>
          <w:szCs w:val="32"/>
          <w:lang w:val="en-US" w:eastAsia="zh-CN"/>
        </w:rPr>
        <w:t>王礼</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4．注册地址：</w:t>
      </w:r>
      <w:r>
        <w:rPr>
          <w:rFonts w:hint="eastAsia" w:ascii="仿宋_GB2312" w:hAnsi="仿宋_GB2312" w:eastAsia="仿宋_GB2312" w:cs="仿宋_GB2312"/>
          <w:b w:val="0"/>
          <w:bCs w:val="0"/>
          <w:sz w:val="32"/>
          <w:szCs w:val="32"/>
          <w:lang w:val="en-US" w:eastAsia="zh-CN"/>
        </w:rPr>
        <w:t>山东省</w:t>
      </w:r>
      <w:r>
        <w:rPr>
          <w:rFonts w:hint="eastAsia" w:ascii="仿宋_GB2312" w:hAnsi="仿宋_GB2312" w:eastAsia="仿宋_GB2312" w:cs="仿宋_GB2312"/>
          <w:b w:val="0"/>
          <w:bCs w:val="0"/>
          <w:sz w:val="32"/>
          <w:szCs w:val="32"/>
        </w:rPr>
        <w:t>济南市高新区经十路7000号汉峪金谷商业区A1-5号楼山东海洋大厦26楼</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经营范围：海河联运工程项目投资建设；内河及沿海航道、船闸、港口码头基础设施投资建设、管理、运营、养护及咨询服务（包含经有权部门授权许可的内河航道、船闸、港口收费及管理等）;水路运输、港口物流、仓储（不含化学危险品）；内河文化旅游、救援、清污、清障。</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6．办公地址：</w:t>
      </w:r>
      <w:r>
        <w:rPr>
          <w:rFonts w:hint="eastAsia" w:ascii="仿宋_GB2312" w:hAnsi="仿宋_GB2312" w:eastAsia="仿宋_GB2312" w:cs="仿宋_GB2312"/>
          <w:b w:val="0"/>
          <w:bCs w:val="0"/>
          <w:sz w:val="32"/>
          <w:szCs w:val="32"/>
          <w:lang w:val="en-US" w:eastAsia="zh-CN"/>
        </w:rPr>
        <w:t>山东省</w:t>
      </w:r>
      <w:r>
        <w:rPr>
          <w:rFonts w:hint="eastAsia" w:ascii="仿宋_GB2312" w:hAnsi="仿宋_GB2312" w:eastAsia="仿宋_GB2312" w:cs="仿宋_GB2312"/>
          <w:b w:val="0"/>
          <w:bCs w:val="0"/>
          <w:sz w:val="32"/>
          <w:szCs w:val="32"/>
        </w:rPr>
        <w:t>济南市高新区经十路7000号汉峪金谷商业区A1-5号楼山东海洋大厦26楼    邮政编码：</w:t>
      </w:r>
      <w:r>
        <w:rPr>
          <w:rFonts w:hint="eastAsia" w:ascii="仿宋_GB2312" w:hAnsi="仿宋_GB2312" w:eastAsia="仿宋_GB2312" w:cs="仿宋_GB2312"/>
          <w:b w:val="0"/>
          <w:bCs w:val="0"/>
          <w:sz w:val="32"/>
          <w:szCs w:val="32"/>
          <w:lang w:val="en-US" w:eastAsia="zh-CN"/>
        </w:rPr>
        <w:t>250102</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7．网址：</w:t>
      </w:r>
      <w:r>
        <w:rPr>
          <w:rFonts w:hint="eastAsia" w:ascii="仿宋_GB2312" w:hAnsi="仿宋_GB2312" w:eastAsia="仿宋_GB2312" w:cs="仿宋_GB2312"/>
          <w:b w:val="0"/>
          <w:bCs w:val="0"/>
          <w:sz w:val="32"/>
          <w:szCs w:val="32"/>
          <w:lang w:val="en-US" w:eastAsia="zh-CN"/>
        </w:rPr>
        <w:t>www.sdwtd.com</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highlight w:val="none"/>
        </w:rPr>
        <w:t xml:space="preserve">电子信箱: </w:t>
      </w:r>
      <w:r>
        <w:rPr>
          <w:rFonts w:hint="eastAsia" w:ascii="仿宋_GB2312" w:hAnsi="仿宋_GB2312" w:eastAsia="仿宋_GB2312" w:cs="仿宋_GB2312"/>
          <w:b w:val="0"/>
          <w:bCs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9．公司简介: 山东水运发展集团有限公司是山东海洋集团有限公司旗下从事内河港航投资运营的主体企业，成立于2013年8月，注册资本15亿元。山东水运发展集团有限公司是山东省加快内河基础设施建设，促进区域经济协调发展的核心投融资平台，在国家和山东省对港航基础设施建设财政投资的基础上，作为财政投资资金缺口的有效补充，利用资金的杠杆作用，以经济效益为中心，充分发挥国有资本投资导向作用，服务山东省会城市经济圈、蓝黄两区、西部经济隆起带等重大区域发展战略的建设。</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公司</w:t>
      </w:r>
      <w:r>
        <w:rPr>
          <w:rFonts w:hint="eastAsia" w:ascii="仿宋_GB2312" w:hAnsi="仿宋_GB2312" w:eastAsia="仿宋_GB2312" w:cs="仿宋_GB2312"/>
          <w:b w:val="0"/>
          <w:bCs w:val="0"/>
          <w:sz w:val="32"/>
          <w:szCs w:val="32"/>
        </w:rPr>
        <w:t>目前是我省内河港航领域规模最大、门类最齐全的龙头企业</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先后运营了济宁洙水河航道、枣庄峄州港、滕州港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东平港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试运营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等</w:t>
      </w:r>
      <w:r>
        <w:rPr>
          <w:rFonts w:hint="eastAsia" w:ascii="仿宋_GB2312" w:hAnsi="仿宋_GB2312" w:eastAsia="仿宋_GB2312" w:cs="仿宋_GB2312"/>
          <w:b w:val="0"/>
          <w:bCs w:val="0"/>
          <w:sz w:val="32"/>
          <w:szCs w:val="32"/>
        </w:rPr>
        <w:t>项目，接收了京杭运河山东段船闸管理权，确保了改革过程中收费、管理、服务“三个不断档”，推动了我省内河水运行业市场化进程和高质量发展。</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、季度内发生的重大事项及对企业的影响</w:t>
      </w:r>
      <w:r>
        <w:rPr>
          <w:rFonts w:ascii="黑体" w:hAnsi="黑体" w:eastAsia="黑体" w:cs="黑体"/>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一</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重大决策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rPr>
          <w:rFonts w:hint="default"/>
          <w:lang w:val="en-US" w:eastAsia="zh-CN"/>
        </w:rPr>
      </w:pPr>
      <w:r>
        <w:rPr>
          <w:rFonts w:hint="eastAsia" w:ascii="仿宋_GB2312" w:hAnsi="仿宋_GB2312" w:eastAsia="仿宋_GB2312" w:cs="仿宋_GB2312"/>
          <w:b w:val="0"/>
          <w:bCs w:val="0"/>
          <w:sz w:val="32"/>
          <w:szCs w:val="32"/>
          <w:highlight w:val="none"/>
          <w:lang w:val="en-US" w:eastAsia="zh-CN"/>
        </w:rPr>
        <w:t xml:space="preserve">    报告期内经董事会审议通过的重大决策有《</w:t>
      </w:r>
      <w:r>
        <w:rPr>
          <w:rFonts w:hint="eastAsia" w:ascii="仿宋_GB2312" w:hAnsi="Calibri" w:eastAsia="仿宋_GB2312" w:cs="Times New Roman"/>
          <w:sz w:val="32"/>
          <w:szCs w:val="32"/>
          <w:lang w:val="en-US" w:eastAsia="zh-CN"/>
        </w:rPr>
        <w:t>关于公司向齐鲁银行股份有限公司济南浆水泉支行申请办理授信的议案》《关于修订制定&lt;全面预算管理实施细则&gt;等7项制度的议案》《关于修订&lt;安全生产管理办法&gt;&lt;生产安全事故应急预案管理办法&gt;2项制度的议案》</w:t>
      </w:r>
      <w:r>
        <w:rPr>
          <w:rFonts w:hint="eastAsia" w:ascii="仿宋_GB2312" w:hAnsi="仿宋_GB2312" w:eastAsia="仿宋_GB2312" w:cs="仿宋_GB2312"/>
          <w:sz w:val="32"/>
          <w:szCs w:val="32"/>
          <w:lang w:val="en-US" w:eastAsia="zh-CN"/>
        </w:rPr>
        <w:t>《关于审议山东水运发展集团有限公司董事会审计与风险委员会议事规则的议案》等6项议案。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重大项目安排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三</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重要人事任免</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报告期内，</w:t>
      </w:r>
      <w:r>
        <w:rPr>
          <w:rFonts w:hint="default" w:ascii="仿宋_GB2312" w:hAnsi="仿宋_GB2312" w:eastAsia="仿宋_GB2312" w:cs="仿宋_GB2312"/>
          <w:b w:val="0"/>
          <w:bCs w:val="0"/>
          <w:sz w:val="32"/>
          <w:szCs w:val="32"/>
          <w:highlight w:val="none"/>
          <w:lang w:val="en-US" w:eastAsia="zh-CN"/>
        </w:rPr>
        <w:t>根据山东海洋集团有限公司出具的山东水运发展集团有限公司股东决定，公司法定代表人由总经理变更为董事长，钟学雨不再担任公司法定代表人，王礼为公司法定代表人；于弋甯不再担任公司董事的职务，委派张栋为公司董事，与原董事王礼、钟学雨、李玲、刘强、刘培青、周新月共同组成公司董事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四）</w:t>
      </w:r>
      <w:r>
        <w:rPr>
          <w:rFonts w:hint="eastAsia" w:ascii="仿宋_GB2312" w:hAnsi="仿宋_GB2312" w:eastAsia="仿宋_GB2312" w:cs="仿宋_GB2312"/>
          <w:b w:val="0"/>
          <w:bCs w:val="0"/>
          <w:sz w:val="32"/>
          <w:szCs w:val="32"/>
          <w:highlight w:val="none"/>
        </w:rPr>
        <w:t>大额资金使用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right"/>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right"/>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center"/>
        <w:textAlignment w:val="auto"/>
        <w:rPr>
          <w:rFonts w:ascii="仿宋_GB2312" w:eastAsia="仿宋_GB2312" w:cs="Times New Roman"/>
          <w:sz w:val="32"/>
          <w:szCs w:val="32"/>
        </w:rPr>
      </w:pPr>
      <w:r>
        <w:rPr>
          <w:rFonts w:hint="eastAsia" w:ascii="仿宋_GB2312" w:eastAsia="仿宋_GB2312" w:cs="仿宋_GB2312"/>
          <w:sz w:val="32"/>
          <w:szCs w:val="32"/>
          <w:lang w:val="en-US" w:eastAsia="zh-CN"/>
        </w:rPr>
        <w:t xml:space="preserve">                   山东水运发展</w:t>
      </w:r>
      <w:r>
        <w:rPr>
          <w:rFonts w:hint="eastAsia" w:ascii="仿宋_GB2312" w:eastAsia="仿宋_GB2312" w:cs="仿宋_GB2312"/>
          <w:sz w:val="32"/>
          <w:szCs w:val="32"/>
        </w:rPr>
        <w:t>集团有限公司</w:t>
      </w:r>
    </w:p>
    <w:p>
      <w:pPr>
        <w:keepNext w:val="0"/>
        <w:keepLines w:val="0"/>
        <w:pageBreakBefore w:val="0"/>
        <w:widowControl w:val="0"/>
        <w:kinsoku/>
        <w:wordWrap/>
        <w:overflowPunct/>
        <w:topLinePunct w:val="0"/>
        <w:autoSpaceDE/>
        <w:autoSpaceDN/>
        <w:bidi w:val="0"/>
        <w:adjustRightInd/>
        <w:snapToGrid/>
        <w:spacing w:line="600" w:lineRule="exact"/>
        <w:ind w:right="0" w:firstLine="4960" w:firstLineChars="1550"/>
        <w:textAlignment w:val="auto"/>
        <w:rPr>
          <w:rFonts w:ascii="宋体" w:hAnsi="宋体" w:eastAsia="宋体" w:cs="Times New Roman"/>
          <w:color w:val="000000"/>
        </w:rPr>
      </w:pPr>
      <w:r>
        <w:rPr>
          <w:rFonts w:hint="eastAsia" w:ascii="仿宋_GB2312" w:eastAsia="仿宋_GB2312" w:cs="仿宋_GB2312"/>
          <w:sz w:val="32"/>
          <w:szCs w:val="32"/>
          <w:lang w:val="en-US" w:eastAsia="zh-CN"/>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日</w:t>
      </w:r>
    </w:p>
    <w:sectPr>
      <w:pgSz w:w="11906" w:h="16838"/>
      <w:pgMar w:top="1440" w:right="1633" w:bottom="1440" w:left="1519"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4E0E0"/>
    <w:multiLevelType w:val="singleLevel"/>
    <w:tmpl w:val="7864E0E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8068D"/>
    <w:rsid w:val="00B44C91"/>
    <w:rsid w:val="01F654F7"/>
    <w:rsid w:val="03452393"/>
    <w:rsid w:val="04A5429B"/>
    <w:rsid w:val="06CB18FE"/>
    <w:rsid w:val="07D355B1"/>
    <w:rsid w:val="08A95CBC"/>
    <w:rsid w:val="0B62168A"/>
    <w:rsid w:val="0B9F062E"/>
    <w:rsid w:val="0BEA5A3F"/>
    <w:rsid w:val="0D8F5E06"/>
    <w:rsid w:val="0D9C67BD"/>
    <w:rsid w:val="0DBD4784"/>
    <w:rsid w:val="11E07DC7"/>
    <w:rsid w:val="11FA79F9"/>
    <w:rsid w:val="1359138F"/>
    <w:rsid w:val="14D81385"/>
    <w:rsid w:val="15813781"/>
    <w:rsid w:val="17A765EA"/>
    <w:rsid w:val="1A061345"/>
    <w:rsid w:val="1A585451"/>
    <w:rsid w:val="1AD272F3"/>
    <w:rsid w:val="1BBE7FE8"/>
    <w:rsid w:val="1DD63438"/>
    <w:rsid w:val="1E523CB0"/>
    <w:rsid w:val="1EF450D8"/>
    <w:rsid w:val="2029390C"/>
    <w:rsid w:val="208D4584"/>
    <w:rsid w:val="20BA6B9F"/>
    <w:rsid w:val="22647D70"/>
    <w:rsid w:val="22E31B57"/>
    <w:rsid w:val="23883D9A"/>
    <w:rsid w:val="23D763F7"/>
    <w:rsid w:val="23F33853"/>
    <w:rsid w:val="253D2357"/>
    <w:rsid w:val="255D5F6A"/>
    <w:rsid w:val="25B6130B"/>
    <w:rsid w:val="268F3DFA"/>
    <w:rsid w:val="27741E8A"/>
    <w:rsid w:val="280938C9"/>
    <w:rsid w:val="2CFC2766"/>
    <w:rsid w:val="2F6A27C0"/>
    <w:rsid w:val="300B54C9"/>
    <w:rsid w:val="30E84217"/>
    <w:rsid w:val="354B0389"/>
    <w:rsid w:val="367E148D"/>
    <w:rsid w:val="369D133B"/>
    <w:rsid w:val="38855D3A"/>
    <w:rsid w:val="388967DA"/>
    <w:rsid w:val="38E97C89"/>
    <w:rsid w:val="3A0F4F37"/>
    <w:rsid w:val="3B007111"/>
    <w:rsid w:val="3B83073F"/>
    <w:rsid w:val="3B97379D"/>
    <w:rsid w:val="3C8F688E"/>
    <w:rsid w:val="3CD17E48"/>
    <w:rsid w:val="3F19187A"/>
    <w:rsid w:val="3F5478E4"/>
    <w:rsid w:val="40780D94"/>
    <w:rsid w:val="40DC0E08"/>
    <w:rsid w:val="42D97FA5"/>
    <w:rsid w:val="43F6346E"/>
    <w:rsid w:val="446A27E2"/>
    <w:rsid w:val="46AF4E88"/>
    <w:rsid w:val="46CB0B18"/>
    <w:rsid w:val="47A40C3A"/>
    <w:rsid w:val="48E32938"/>
    <w:rsid w:val="4B4F539C"/>
    <w:rsid w:val="4C2C50E6"/>
    <w:rsid w:val="4D7A7F28"/>
    <w:rsid w:val="4E805BBD"/>
    <w:rsid w:val="506B0142"/>
    <w:rsid w:val="516E0203"/>
    <w:rsid w:val="51D6177C"/>
    <w:rsid w:val="53380068"/>
    <w:rsid w:val="533C0D03"/>
    <w:rsid w:val="536B6CD8"/>
    <w:rsid w:val="53E87CBA"/>
    <w:rsid w:val="58731677"/>
    <w:rsid w:val="588040A6"/>
    <w:rsid w:val="59213849"/>
    <w:rsid w:val="5A3450B5"/>
    <w:rsid w:val="5B182A12"/>
    <w:rsid w:val="5B7C3236"/>
    <w:rsid w:val="5C553691"/>
    <w:rsid w:val="5D130EE0"/>
    <w:rsid w:val="5E31727A"/>
    <w:rsid w:val="5F1C06ED"/>
    <w:rsid w:val="5F221A5E"/>
    <w:rsid w:val="62CB0D64"/>
    <w:rsid w:val="64044C09"/>
    <w:rsid w:val="6503256D"/>
    <w:rsid w:val="666F46DD"/>
    <w:rsid w:val="6689753D"/>
    <w:rsid w:val="677F146F"/>
    <w:rsid w:val="69337C62"/>
    <w:rsid w:val="693561CF"/>
    <w:rsid w:val="6A88068D"/>
    <w:rsid w:val="6AA616DC"/>
    <w:rsid w:val="6B3B3815"/>
    <w:rsid w:val="6D3446B2"/>
    <w:rsid w:val="6D563906"/>
    <w:rsid w:val="6F2069A7"/>
    <w:rsid w:val="71037951"/>
    <w:rsid w:val="739D0F54"/>
    <w:rsid w:val="73C1714F"/>
    <w:rsid w:val="75F02290"/>
    <w:rsid w:val="76944CEF"/>
    <w:rsid w:val="781E15EB"/>
    <w:rsid w:val="79860D5D"/>
    <w:rsid w:val="7A2D274B"/>
    <w:rsid w:val="7ADC4565"/>
    <w:rsid w:val="7BC2626F"/>
    <w:rsid w:val="7ED9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楷体_GB2312" w:cs="Book Antiqua"/>
      <w:kern w:val="2"/>
      <w:sz w:val="24"/>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kern w:val="0"/>
      <w:sz w:val="18"/>
      <w:szCs w:val="18"/>
    </w:rPr>
  </w:style>
  <w:style w:type="paragraph" w:styleId="3">
    <w:name w:val="Normal Indent"/>
    <w:basedOn w:val="1"/>
    <w:next w:val="1"/>
    <w:qFormat/>
    <w:uiPriority w:val="0"/>
    <w:pPr>
      <w:snapToGrid w:val="0"/>
      <w:spacing w:line="300" w:lineRule="auto"/>
      <w:ind w:firstLine="556"/>
    </w:pPr>
    <w:rPr>
      <w:rFonts w:ascii="仿宋_GB2312" w:eastAsia="仿宋_GB2312"/>
      <w:sz w:val="28"/>
    </w:rPr>
  </w:style>
  <w:style w:type="paragraph" w:styleId="4">
    <w:name w:val="Body Text Indent"/>
    <w:basedOn w:val="1"/>
    <w:next w:val="3"/>
    <w:qFormat/>
    <w:uiPriority w:val="0"/>
    <w:pPr>
      <w:adjustRightInd w:val="0"/>
      <w:spacing w:line="360" w:lineRule="auto"/>
      <w:ind w:left="630"/>
      <w:textAlignment w:val="baseline"/>
    </w:pPr>
    <w:rPr>
      <w:rFonts w:eastAsia="楷体_GB2312"/>
      <w:spacing w:val="14"/>
      <w:kern w:val="0"/>
    </w:rPr>
  </w:style>
  <w:style w:type="paragraph" w:styleId="5">
    <w:name w:val="Plain Text"/>
    <w:basedOn w:val="1"/>
    <w:qFormat/>
    <w:uiPriority w:val="0"/>
    <w:rPr>
      <w:rFonts w:ascii="宋体" w:hAnsi="Courier New"/>
    </w:rPr>
  </w:style>
  <w:style w:type="paragraph" w:styleId="6">
    <w:name w:val="Title"/>
    <w:basedOn w:val="1"/>
    <w:next w:val="1"/>
    <w:qFormat/>
    <w:uiPriority w:val="99"/>
    <w:pPr>
      <w:spacing w:before="240" w:after="60"/>
      <w:jc w:val="center"/>
      <w:outlineLvl w:val="0"/>
    </w:pPr>
    <w:rPr>
      <w:rFonts w:ascii="Cambria" w:hAnsi="Cambria" w:eastAsia="宋体" w:cs="Cambria"/>
      <w:b/>
      <w:bCs/>
      <w:sz w:val="32"/>
      <w:szCs w:val="32"/>
    </w:rPr>
  </w:style>
  <w:style w:type="paragraph" w:styleId="7">
    <w:name w:val="Body Text First Indent 2"/>
    <w:basedOn w:val="4"/>
    <w:next w:val="1"/>
    <w:qFormat/>
    <w:uiPriority w:val="0"/>
    <w:pPr>
      <w:spacing w:after="120" w:line="240" w:lineRule="auto"/>
      <w:ind w:left="420" w:leftChars="200"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2021-06-10T11:36:00Z</dcterms:created>
  <dc:creator>summer</dc:creator>
  <cp:lastModifiedBy>张翮</cp:lastModifiedBy>
  <cp:lastPrinted>2022-04-07T06:56:00Z</cp:lastPrinted>
  <dcterms:modified xsi:type="dcterms:W3CDTF">2023-10-11T06:03:55Z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