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黑体" w:eastAsia="方正小标宋简体" w:cs="方正小标宋简体"/>
          <w:b w:val="0"/>
          <w:bCs w:val="0"/>
          <w:color w:val="000000"/>
          <w:kern w:val="2"/>
          <w:sz w:val="44"/>
          <w:szCs w:val="44"/>
          <w:lang w:val="en-US" w:eastAsia="zh-CN" w:bidi="ar-SA"/>
        </w:rPr>
      </w:pPr>
    </w:p>
    <w:p>
      <w:pPr>
        <w:pStyle w:val="7"/>
        <w:spacing w:before="0" w:after="0" w:line="50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7"/>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2024年</w:t>
      </w:r>
      <w:r>
        <w:rPr>
          <w:rFonts w:hint="eastAsia" w:ascii="方正小标宋简体" w:hAnsi="黑体" w:eastAsia="方正小标宋简体" w:cs="方正小标宋简体"/>
          <w:b w:val="0"/>
          <w:bCs w:val="0"/>
          <w:color w:val="000000"/>
          <w:sz w:val="44"/>
          <w:szCs w:val="44"/>
          <w:lang w:val="en-US" w:eastAsia="zh-CN"/>
        </w:rPr>
        <w:t>第三季度</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480" w:lineRule="exact"/>
        <w:rPr>
          <w:rFonts w:ascii="仿宋_GB2312" w:cs="Times New Roman"/>
          <w:color w:val="000000"/>
        </w:rPr>
      </w:pPr>
    </w:p>
    <w:p>
      <w:pPr>
        <w:pStyle w:val="5"/>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60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于2017年1月5日成立，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w:t>
      </w:r>
      <w:r>
        <w:rPr>
          <w:rFonts w:hint="eastAsia" w:ascii="仿宋_GB2312" w:hAnsi="宋体" w:eastAsia="仿宋_GB2312" w:cs="Times New Roman"/>
          <w:kern w:val="2"/>
          <w:sz w:val="32"/>
          <w:szCs w:val="32"/>
          <w:lang w:val="en-US" w:eastAsia="zh-CN" w:bidi="ar-SA"/>
        </w:rPr>
        <w:t>《关于签订公司2024年度业绩考核责任书的议案》《关于审议公司2024年上半年信息公告的议案》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报告期内，</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滕州新奥能源物流港有限公司</w:t>
      </w:r>
      <w:r>
        <w:rPr>
          <w:rFonts w:hint="eastAsia" w:ascii="仿宋_GB2312" w:hAnsi="仿宋_GB2312" w:eastAsia="仿宋_GB2312" w:cs="仿宋_GB2312"/>
          <w:sz w:val="32"/>
          <w:szCs w:val="32"/>
        </w:rPr>
        <w:t>股东决</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w:t>
      </w:r>
      <w:r>
        <w:rPr>
          <w:rFonts w:hint="eastAsia" w:ascii="仿宋_GB2312" w:eastAsia="仿宋_GB2312" w:cs="宋体"/>
          <w:sz w:val="32"/>
          <w:szCs w:val="32"/>
        </w:rPr>
        <w:t>滕州新奥能源物流港有限公司</w:t>
      </w:r>
      <w:r>
        <w:rPr>
          <w:rFonts w:hint="eastAsia" w:ascii="仿宋_GB2312" w:hAnsi="仿宋_GB2312" w:eastAsia="仿宋_GB2312" w:cs="仿宋_GB2312"/>
          <w:sz w:val="32"/>
          <w:szCs w:val="32"/>
          <w:lang w:val="en-US" w:eastAsia="zh-CN"/>
        </w:rPr>
        <w:t>董事由宁伟变更为</w:t>
      </w:r>
      <w:r>
        <w:rPr>
          <w:rFonts w:hint="eastAsia" w:ascii="仿宋_GB2312" w:eastAsia="仿宋_GB2312" w:cs="宋体"/>
          <w:sz w:val="32"/>
          <w:szCs w:val="32"/>
          <w:lang w:val="en-US" w:eastAsia="zh-CN"/>
        </w:rPr>
        <w:t>张翮</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宁伟</w:t>
      </w:r>
      <w:r>
        <w:rPr>
          <w:rFonts w:hint="eastAsia" w:ascii="仿宋_GB2312" w:eastAsia="仿宋_GB2312" w:cs="宋体"/>
          <w:sz w:val="32"/>
          <w:szCs w:val="32"/>
        </w:rPr>
        <w:t>不再担任滕州新奥能源物流港有限公司董事职务</w:t>
      </w:r>
      <w:r>
        <w:rPr>
          <w:rFonts w:hint="eastAsia" w:ascii="仿宋_GB2312" w:eastAsia="仿宋_GB2312"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报告期内，公司大额资金使用按照滕州新奥能源物流港有限公司2024年度预算执行。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滕州港公司严格遵守《中华人民共和国劳动合同法》等法律法规，遵循合法、公平、平等自愿的原则与员工签订书面劳动合同，劳动合同签约率100%，并依法进行劳动合同的履行、变更、解除和终止。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滕州港公司严格执行公平合理的薪酬制度，按时足额支付员工薪酬，并依法为员工按时足额缴纳养老金、工伤保险金、医疗保险金等。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444444"/>
          <w:sz w:val="32"/>
          <w:szCs w:val="32"/>
        </w:rPr>
      </w:pPr>
      <w:r>
        <w:rPr>
          <w:rFonts w:hint="eastAsia" w:ascii="仿宋_GB2312" w:eastAsia="仿宋_GB2312" w:cs="Times New Roman"/>
          <w:sz w:val="32"/>
          <w:szCs w:val="32"/>
        </w:rPr>
        <w:t>滕州港公司2024年</w:t>
      </w:r>
      <w:r>
        <w:rPr>
          <w:rFonts w:hint="eastAsia" w:ascii="仿宋_GB2312" w:eastAsia="仿宋_GB2312" w:cs="Times New Roman"/>
          <w:sz w:val="32"/>
          <w:szCs w:val="32"/>
          <w:lang w:val="en-US" w:eastAsia="zh-CN"/>
        </w:rPr>
        <w:t>三季度</w:t>
      </w:r>
      <w:r>
        <w:rPr>
          <w:rFonts w:hint="eastAsia" w:ascii="仿宋_GB2312" w:eastAsia="仿宋_GB2312" w:cs="Times New Roman"/>
          <w:sz w:val="32"/>
          <w:szCs w:val="32"/>
        </w:rPr>
        <w:t>严格按照集团公司相关流程开展人才引进、职工招聘工作。商务部经理岗位招聘工作</w:t>
      </w:r>
      <w:r>
        <w:rPr>
          <w:rFonts w:hint="eastAsia" w:ascii="仿宋_GB2312" w:eastAsia="仿宋_GB2312" w:cs="Times New Roman"/>
          <w:sz w:val="32"/>
          <w:szCs w:val="32"/>
          <w:lang w:val="en-US" w:eastAsia="zh-CN"/>
        </w:rPr>
        <w:t>已于三季度由山东水运发展集团有限公司代为开展</w:t>
      </w:r>
      <w:r>
        <w:rPr>
          <w:rFonts w:hint="eastAsia" w:ascii="仿宋_GB2312" w:eastAsia="仿宋_GB2312"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                   </w:t>
      </w:r>
    </w:p>
    <w:sectPr>
      <w:footerReference r:id="rId3" w:type="default"/>
      <w:pgSz w:w="11906" w:h="16838"/>
      <w:pgMar w:top="2098" w:right="1474" w:bottom="198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RhMWFjMTgwNzg3Y2U3OTRmNjllZTZhMzMxMGMifQ=="/>
  </w:docVars>
  <w:rsids>
    <w:rsidRoot w:val="6A88068D"/>
    <w:rsid w:val="00071484"/>
    <w:rsid w:val="005378CD"/>
    <w:rsid w:val="00913C20"/>
    <w:rsid w:val="00B44C91"/>
    <w:rsid w:val="01F654F7"/>
    <w:rsid w:val="03452393"/>
    <w:rsid w:val="04A5429B"/>
    <w:rsid w:val="053F0E84"/>
    <w:rsid w:val="06CB18FE"/>
    <w:rsid w:val="07D355B1"/>
    <w:rsid w:val="08A95CBC"/>
    <w:rsid w:val="0B62168A"/>
    <w:rsid w:val="0B9F062E"/>
    <w:rsid w:val="0BEA5A3F"/>
    <w:rsid w:val="0C92665E"/>
    <w:rsid w:val="0CB33364"/>
    <w:rsid w:val="0D8F5E06"/>
    <w:rsid w:val="0D9C67BD"/>
    <w:rsid w:val="0DBD4784"/>
    <w:rsid w:val="0ED45926"/>
    <w:rsid w:val="10F35841"/>
    <w:rsid w:val="11E07DC7"/>
    <w:rsid w:val="11FA79F9"/>
    <w:rsid w:val="1359138F"/>
    <w:rsid w:val="14D81385"/>
    <w:rsid w:val="14FC2B2C"/>
    <w:rsid w:val="15813781"/>
    <w:rsid w:val="17A765EA"/>
    <w:rsid w:val="1A061345"/>
    <w:rsid w:val="1A585451"/>
    <w:rsid w:val="1AD272F3"/>
    <w:rsid w:val="1BA10145"/>
    <w:rsid w:val="1BBE7FE8"/>
    <w:rsid w:val="1DD63438"/>
    <w:rsid w:val="1E121DAE"/>
    <w:rsid w:val="1E523CB0"/>
    <w:rsid w:val="1EF450D8"/>
    <w:rsid w:val="2029390C"/>
    <w:rsid w:val="208D4584"/>
    <w:rsid w:val="20BA6B9F"/>
    <w:rsid w:val="22647D70"/>
    <w:rsid w:val="22E31B57"/>
    <w:rsid w:val="23883D9A"/>
    <w:rsid w:val="23D763F7"/>
    <w:rsid w:val="23F33853"/>
    <w:rsid w:val="253D2357"/>
    <w:rsid w:val="255D5F6A"/>
    <w:rsid w:val="25B6130B"/>
    <w:rsid w:val="268F3DFA"/>
    <w:rsid w:val="27741E8A"/>
    <w:rsid w:val="280938C9"/>
    <w:rsid w:val="288D1625"/>
    <w:rsid w:val="2CFC2766"/>
    <w:rsid w:val="2F6A27C0"/>
    <w:rsid w:val="300B54C9"/>
    <w:rsid w:val="30E84217"/>
    <w:rsid w:val="3281183A"/>
    <w:rsid w:val="354B0389"/>
    <w:rsid w:val="356D21C0"/>
    <w:rsid w:val="367E148D"/>
    <w:rsid w:val="369D133B"/>
    <w:rsid w:val="37BF626B"/>
    <w:rsid w:val="38394C4C"/>
    <w:rsid w:val="38855D3A"/>
    <w:rsid w:val="388967DA"/>
    <w:rsid w:val="38CA7912"/>
    <w:rsid w:val="38E97C89"/>
    <w:rsid w:val="3A0F4F37"/>
    <w:rsid w:val="3AC15D86"/>
    <w:rsid w:val="3B007111"/>
    <w:rsid w:val="3B83073F"/>
    <w:rsid w:val="3B97379D"/>
    <w:rsid w:val="3C8F688E"/>
    <w:rsid w:val="3CD17E48"/>
    <w:rsid w:val="3F19187A"/>
    <w:rsid w:val="3F5478E4"/>
    <w:rsid w:val="3FEA4A45"/>
    <w:rsid w:val="40780D94"/>
    <w:rsid w:val="40DC0E08"/>
    <w:rsid w:val="42D97FA5"/>
    <w:rsid w:val="432E5FB3"/>
    <w:rsid w:val="43F6346E"/>
    <w:rsid w:val="446A27E2"/>
    <w:rsid w:val="469B4BC7"/>
    <w:rsid w:val="46AF4E88"/>
    <w:rsid w:val="46CB0B18"/>
    <w:rsid w:val="46CE3728"/>
    <w:rsid w:val="47A40C3A"/>
    <w:rsid w:val="48E32938"/>
    <w:rsid w:val="4A9E396D"/>
    <w:rsid w:val="4B4F539C"/>
    <w:rsid w:val="4C2C50E6"/>
    <w:rsid w:val="4D7A7F28"/>
    <w:rsid w:val="4DBD6137"/>
    <w:rsid w:val="4E805BBD"/>
    <w:rsid w:val="506B0142"/>
    <w:rsid w:val="516E0203"/>
    <w:rsid w:val="51D6177C"/>
    <w:rsid w:val="523A05C3"/>
    <w:rsid w:val="526429DA"/>
    <w:rsid w:val="53380068"/>
    <w:rsid w:val="533C0D03"/>
    <w:rsid w:val="536B6CD8"/>
    <w:rsid w:val="53E87CBA"/>
    <w:rsid w:val="5682272E"/>
    <w:rsid w:val="581F11F8"/>
    <w:rsid w:val="58731677"/>
    <w:rsid w:val="588040A6"/>
    <w:rsid w:val="59213849"/>
    <w:rsid w:val="59384279"/>
    <w:rsid w:val="5A3450B5"/>
    <w:rsid w:val="5B182A12"/>
    <w:rsid w:val="5B7C3236"/>
    <w:rsid w:val="5C553691"/>
    <w:rsid w:val="5D130EE0"/>
    <w:rsid w:val="5E31727A"/>
    <w:rsid w:val="5F1C06ED"/>
    <w:rsid w:val="5F221A5E"/>
    <w:rsid w:val="605E6C5C"/>
    <w:rsid w:val="62CB0D64"/>
    <w:rsid w:val="64044C09"/>
    <w:rsid w:val="6503256D"/>
    <w:rsid w:val="666F46DD"/>
    <w:rsid w:val="6689753D"/>
    <w:rsid w:val="677F146F"/>
    <w:rsid w:val="6871548C"/>
    <w:rsid w:val="69337C62"/>
    <w:rsid w:val="693561CF"/>
    <w:rsid w:val="6A88068D"/>
    <w:rsid w:val="6AA616DC"/>
    <w:rsid w:val="6AD94A8C"/>
    <w:rsid w:val="6B3B3815"/>
    <w:rsid w:val="6D3446B2"/>
    <w:rsid w:val="6D563906"/>
    <w:rsid w:val="6F2069A7"/>
    <w:rsid w:val="70324A0F"/>
    <w:rsid w:val="71037951"/>
    <w:rsid w:val="710B2472"/>
    <w:rsid w:val="739D0F54"/>
    <w:rsid w:val="73C1714F"/>
    <w:rsid w:val="742E4364"/>
    <w:rsid w:val="745901EE"/>
    <w:rsid w:val="75F02290"/>
    <w:rsid w:val="76944CEF"/>
    <w:rsid w:val="77DE204E"/>
    <w:rsid w:val="781E15EB"/>
    <w:rsid w:val="7872751B"/>
    <w:rsid w:val="79860D5D"/>
    <w:rsid w:val="7A2D274B"/>
    <w:rsid w:val="7A39621E"/>
    <w:rsid w:val="7ADC4565"/>
    <w:rsid w:val="7BC2626F"/>
    <w:rsid w:val="7C4A1149"/>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qFormat/>
    <w:uiPriority w:val="0"/>
    <w:pPr>
      <w:adjustRightInd w:val="0"/>
      <w:spacing w:line="360" w:lineRule="auto"/>
      <w:ind w:left="630"/>
      <w:textAlignment w:val="baseline"/>
    </w:pPr>
    <w:rPr>
      <w:spacing w:val="14"/>
      <w:kern w:val="0"/>
    </w:r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8">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1368</Words>
  <Characters>1422</Characters>
  <Lines>9</Lines>
  <Paragraphs>2</Paragraphs>
  <TotalTime>0</TotalTime>
  <ScaleCrop>false</ScaleCrop>
  <LinksUpToDate>false</LinksUpToDate>
  <CharactersWithSpaces>1466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毛文欣</cp:lastModifiedBy>
  <cp:lastPrinted>2022-04-07T06:56:00Z</cp:lastPrinted>
  <dcterms:modified xsi:type="dcterms:W3CDTF">2024-10-16T06:45:53Z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6303E684AA6743D1A5B420A560F8244C_13</vt:lpwstr>
  </property>
</Properties>
</file>